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6A" w:rsidRDefault="00711080" w:rsidP="008D6917">
      <w:pPr>
        <w:ind w:left="1416"/>
      </w:pPr>
      <w:r>
        <w:t xml:space="preserve">                      </w:t>
      </w:r>
      <w:r w:rsidR="0032627E">
        <w:rPr>
          <w:noProof/>
        </w:rPr>
        <w:drawing>
          <wp:inline distT="0" distB="0" distL="0" distR="0">
            <wp:extent cx="2076450" cy="255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54" cy="255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D5" w:rsidRDefault="00277AD5"/>
    <w:p w:rsidR="00277AD5" w:rsidRDefault="00277AD5"/>
    <w:p w:rsidR="00277AD5" w:rsidRDefault="00277AD5"/>
    <w:p w:rsidR="00277AD5" w:rsidRDefault="00277AD5"/>
    <w:p w:rsidR="00A46F9E" w:rsidRPr="0032627E" w:rsidRDefault="00A46F9E" w:rsidP="00906FFA">
      <w:pPr>
        <w:ind w:left="2832" w:firstLine="708"/>
        <w:rPr>
          <w:b/>
          <w:sz w:val="40"/>
          <w:szCs w:val="40"/>
        </w:rPr>
      </w:pPr>
      <w:r w:rsidRPr="0032627E">
        <w:rPr>
          <w:b/>
          <w:sz w:val="40"/>
          <w:szCs w:val="40"/>
        </w:rPr>
        <w:t>IZVJEŠĆA</w:t>
      </w:r>
    </w:p>
    <w:p w:rsidR="00B75CE1" w:rsidRPr="009A6EBB" w:rsidRDefault="00B75CE1" w:rsidP="00277AD5">
      <w:pPr>
        <w:rPr>
          <w:sz w:val="40"/>
          <w:szCs w:val="40"/>
        </w:rPr>
      </w:pPr>
    </w:p>
    <w:p w:rsidR="00A46F9E" w:rsidRPr="009A6EBB" w:rsidRDefault="00A46F9E" w:rsidP="00A46F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A6EBB">
        <w:rPr>
          <w:sz w:val="32"/>
          <w:szCs w:val="32"/>
        </w:rPr>
        <w:t>O OSTVARENOM PROGRAMU RADA</w:t>
      </w:r>
    </w:p>
    <w:p w:rsidR="00A46F9E" w:rsidRPr="009A6EBB" w:rsidRDefault="00A46F9E" w:rsidP="00A46F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A6EBB">
        <w:rPr>
          <w:sz w:val="32"/>
          <w:szCs w:val="32"/>
        </w:rPr>
        <w:t>IZV</w:t>
      </w:r>
      <w:r w:rsidR="00451357">
        <w:rPr>
          <w:sz w:val="32"/>
          <w:szCs w:val="32"/>
        </w:rPr>
        <w:t>RŠENOM FINACIJSKOM PLANU ZA 2013</w:t>
      </w:r>
      <w:r w:rsidRPr="009A6EBB">
        <w:rPr>
          <w:sz w:val="32"/>
          <w:szCs w:val="32"/>
        </w:rPr>
        <w:t xml:space="preserve"> GODINU</w:t>
      </w:r>
    </w:p>
    <w:p w:rsidR="00A46F9E" w:rsidRDefault="00A46F9E" w:rsidP="00A46F9E">
      <w:pPr>
        <w:jc w:val="both"/>
      </w:pPr>
    </w:p>
    <w:p w:rsidR="00A46F9E" w:rsidRDefault="00A46F9E" w:rsidP="00A46F9E"/>
    <w:p w:rsidR="00A46F9E" w:rsidRDefault="00A46F9E" w:rsidP="00A46F9E"/>
    <w:p w:rsidR="00A46F9E" w:rsidRDefault="00A46F9E" w:rsidP="00A46F9E"/>
    <w:p w:rsidR="00A46F9E" w:rsidRDefault="00A46F9E" w:rsidP="00A46F9E"/>
    <w:p w:rsidR="00576A3E" w:rsidRDefault="00B75CE1" w:rsidP="008D6917">
      <w:r>
        <w:t xml:space="preserve">                                                                                              </w:t>
      </w:r>
      <w:r w:rsidR="008D6917">
        <w:t xml:space="preserve">       </w:t>
      </w:r>
    </w:p>
    <w:p w:rsidR="00576A3E" w:rsidRDefault="00576A3E" w:rsidP="008D6917"/>
    <w:p w:rsidR="00277AD5" w:rsidRDefault="0032627E" w:rsidP="0032627E">
      <w:r>
        <w:t xml:space="preserve">                                                                       </w:t>
      </w:r>
      <w:r w:rsidR="00BF48ED">
        <w:t>Ston,veljača 2014</w:t>
      </w:r>
    </w:p>
    <w:p w:rsidR="00A46F9E" w:rsidRDefault="00A46F9E" w:rsidP="00A46F9E">
      <w:pPr>
        <w:jc w:val="center"/>
      </w:pPr>
    </w:p>
    <w:p w:rsidR="00711080" w:rsidRDefault="00711080" w:rsidP="00A46F9E">
      <w:pPr>
        <w:jc w:val="center"/>
      </w:pPr>
    </w:p>
    <w:p w:rsidR="00A46F9E" w:rsidRDefault="00A46F9E" w:rsidP="00680094">
      <w:pPr>
        <w:rPr>
          <w:b/>
          <w:sz w:val="32"/>
          <w:szCs w:val="32"/>
        </w:rPr>
      </w:pPr>
      <w:r w:rsidRPr="009A6EBB">
        <w:rPr>
          <w:b/>
          <w:sz w:val="32"/>
          <w:szCs w:val="32"/>
        </w:rPr>
        <w:lastRenderedPageBreak/>
        <w:t>UVOD</w:t>
      </w:r>
    </w:p>
    <w:p w:rsidR="0068760C" w:rsidRPr="00380FED" w:rsidRDefault="0068760C" w:rsidP="0068760C">
      <w:pPr>
        <w:jc w:val="both"/>
        <w:rPr>
          <w:rFonts w:asciiTheme="majorHAnsi" w:eastAsia="Times New Roman" w:hAnsiTheme="majorHAnsi" w:cs="Times New Roman"/>
          <w:b/>
        </w:rPr>
      </w:pPr>
    </w:p>
    <w:p w:rsidR="00366955" w:rsidRPr="00987850" w:rsidRDefault="0068760C" w:rsidP="0068760C">
      <w:pPr>
        <w:jc w:val="both"/>
        <w:rPr>
          <w:rFonts w:asciiTheme="majorHAnsi" w:hAnsiTheme="majorHAnsi"/>
          <w:color w:val="000000" w:themeColor="text1"/>
        </w:rPr>
      </w:pPr>
      <w:r w:rsidRPr="00987850">
        <w:rPr>
          <w:rFonts w:asciiTheme="majorHAnsi" w:eastAsia="Times New Roman" w:hAnsiTheme="majorHAnsi" w:cs="Times New Roman"/>
          <w:color w:val="000000" w:themeColor="text1"/>
        </w:rPr>
        <w:t>U skladu sa P</w:t>
      </w:r>
      <w:r w:rsidR="00DA3E8E" w:rsidRPr="00987850">
        <w:rPr>
          <w:rFonts w:asciiTheme="majorHAnsi" w:hAnsiTheme="majorHAnsi"/>
          <w:color w:val="000000" w:themeColor="text1"/>
        </w:rPr>
        <w:t>rogramom rada za 2013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>.godinu rad TZO Ston bio je usmjeren na izvršavanje planiranog.Sve planirane stavke su realizirane dok  financijske razlike u prihodima i rashodima smo odradili rebalansom u mjesecu prosincu.</w:t>
      </w:r>
      <w:r w:rsidR="00366955" w:rsidRPr="00987850">
        <w:rPr>
          <w:rFonts w:asciiTheme="majorHAnsi" w:hAnsiTheme="majorHAnsi"/>
          <w:color w:val="000000" w:themeColor="text1"/>
        </w:rPr>
        <w:t>Turis</w:t>
      </w:r>
      <w:r w:rsidR="00987850" w:rsidRPr="00987850">
        <w:rPr>
          <w:rFonts w:asciiTheme="majorHAnsi" w:hAnsiTheme="majorHAnsi"/>
          <w:color w:val="000000" w:themeColor="text1"/>
        </w:rPr>
        <w:t xml:space="preserve">tički promet je u odnosu na 2012.godinu povećan </w:t>
      </w:r>
      <w:r w:rsidR="00987850" w:rsidRPr="009F5F22">
        <w:rPr>
          <w:rFonts w:asciiTheme="majorHAnsi" w:hAnsiTheme="majorHAnsi"/>
          <w:color w:val="000000" w:themeColor="text1"/>
        </w:rPr>
        <w:t xml:space="preserve">za </w:t>
      </w:r>
      <w:r w:rsidR="00D14ADE" w:rsidRPr="009F5F22">
        <w:rPr>
          <w:rFonts w:asciiTheme="majorHAnsi" w:hAnsiTheme="majorHAnsi"/>
          <w:color w:val="000000" w:themeColor="text1"/>
        </w:rPr>
        <w:t>9%</w:t>
      </w:r>
      <w:r w:rsidR="00987850" w:rsidRPr="00987850">
        <w:rPr>
          <w:rFonts w:asciiTheme="majorHAnsi" w:hAnsiTheme="majorHAnsi"/>
          <w:color w:val="C00000"/>
        </w:rPr>
        <w:t xml:space="preserve"> </w:t>
      </w:r>
      <w:r w:rsidR="00987850" w:rsidRPr="00987850">
        <w:rPr>
          <w:rFonts w:asciiTheme="majorHAnsi" w:hAnsiTheme="majorHAnsi"/>
          <w:color w:val="000000" w:themeColor="text1"/>
        </w:rPr>
        <w:t xml:space="preserve">te je ostvareno </w:t>
      </w:r>
      <w:r w:rsidR="00D14ADE" w:rsidRPr="00D14ADE">
        <w:rPr>
          <w:rFonts w:asciiTheme="majorHAnsi" w:hAnsiTheme="majorHAnsi"/>
          <w:color w:val="000000" w:themeColor="text1"/>
        </w:rPr>
        <w:t>137 687</w:t>
      </w:r>
      <w:r w:rsidR="00366955" w:rsidRPr="00D14ADE">
        <w:rPr>
          <w:rFonts w:asciiTheme="majorHAnsi" w:hAnsiTheme="majorHAnsi"/>
          <w:color w:val="000000" w:themeColor="text1"/>
        </w:rPr>
        <w:t>noćenja</w:t>
      </w:r>
      <w:r w:rsidR="00A91099">
        <w:rPr>
          <w:rFonts w:asciiTheme="majorHAnsi" w:hAnsiTheme="majorHAnsi"/>
          <w:color w:val="000000" w:themeColor="text1"/>
        </w:rPr>
        <w:t>.Analiz</w:t>
      </w:r>
      <w:r w:rsidR="00366955" w:rsidRPr="00987850">
        <w:rPr>
          <w:rFonts w:asciiTheme="majorHAnsi" w:hAnsiTheme="majorHAnsi"/>
          <w:color w:val="000000" w:themeColor="text1"/>
        </w:rPr>
        <w:t>om planiranog i ostvarenog prema programu rada većina planiranih aktivnosti je i ostvarena,a odrađen je i značajan neplanirani dio važan za daljnj</w:t>
      </w:r>
      <w:r w:rsidR="00DE107F" w:rsidRPr="00987850">
        <w:rPr>
          <w:rFonts w:asciiTheme="majorHAnsi" w:hAnsiTheme="majorHAnsi"/>
          <w:color w:val="000000" w:themeColor="text1"/>
        </w:rPr>
        <w:t xml:space="preserve">i </w:t>
      </w:r>
      <w:r w:rsidR="00987850" w:rsidRPr="00987850">
        <w:rPr>
          <w:rFonts w:asciiTheme="majorHAnsi" w:hAnsiTheme="majorHAnsi"/>
          <w:color w:val="000000" w:themeColor="text1"/>
        </w:rPr>
        <w:t xml:space="preserve">razvoj turizma našeg područja uvršten pod novi proizvod-izrada Karte Pelješca </w:t>
      </w:r>
      <w:r w:rsidR="00DE107F" w:rsidRPr="00987850">
        <w:rPr>
          <w:rFonts w:asciiTheme="majorHAnsi" w:hAnsiTheme="majorHAnsi"/>
          <w:color w:val="000000" w:themeColor="text1"/>
        </w:rPr>
        <w:t>.</w:t>
      </w:r>
    </w:p>
    <w:p w:rsidR="006A0313" w:rsidRPr="00987850" w:rsidRDefault="006A0313" w:rsidP="0068760C">
      <w:pPr>
        <w:jc w:val="both"/>
        <w:rPr>
          <w:rFonts w:asciiTheme="majorHAnsi" w:hAnsiTheme="majorHAnsi"/>
          <w:color w:val="000000" w:themeColor="text1"/>
        </w:rPr>
      </w:pPr>
      <w:r w:rsidRPr="00987850">
        <w:rPr>
          <w:rFonts w:asciiTheme="majorHAnsi" w:hAnsiTheme="majorHAnsi"/>
          <w:color w:val="000000" w:themeColor="text1"/>
        </w:rPr>
        <w:t>I u programu rada i financijskom planu težište je bilo stavljeno na podizanje kvalitete destinacije,te podizanje marketinškog pristupa tržištu,stoga smo mišljenja da će kontinuirano ulaganje u image destinacije donjeti dugoročnu korist turizmu općine Ston.</w:t>
      </w:r>
    </w:p>
    <w:p w:rsidR="006A0313" w:rsidRPr="00987850" w:rsidRDefault="006A0313" w:rsidP="0068760C">
      <w:pPr>
        <w:jc w:val="both"/>
        <w:rPr>
          <w:rFonts w:ascii="Clarendon Condensed" w:hAnsi="Clarendon Condensed"/>
          <w:b/>
          <w:color w:val="000000" w:themeColor="text1"/>
        </w:rPr>
      </w:pPr>
      <w:r w:rsidRPr="00987850">
        <w:rPr>
          <w:rFonts w:ascii="Clarendon Condensed" w:hAnsi="Clarendon Condensed"/>
          <w:b/>
          <w:color w:val="000000" w:themeColor="text1"/>
        </w:rPr>
        <w:t>1.ANALIZA RADA</w:t>
      </w:r>
    </w:p>
    <w:p w:rsidR="006A0313" w:rsidRPr="00DA3E8E" w:rsidRDefault="00DA3E8E" w:rsidP="00DA3E8E">
      <w:pPr>
        <w:tabs>
          <w:tab w:val="left" w:pos="2355"/>
        </w:tabs>
        <w:jc w:val="both"/>
        <w:rPr>
          <w:rFonts w:ascii="Clarendon Condensed" w:hAnsi="Clarendon Condensed"/>
          <w:b/>
          <w:color w:val="FF0000"/>
        </w:rPr>
      </w:pPr>
      <w:r w:rsidRPr="00DA3E8E">
        <w:rPr>
          <w:rFonts w:ascii="Clarendon Condensed" w:hAnsi="Clarendon Condensed"/>
          <w:b/>
          <w:color w:val="FF0000"/>
        </w:rPr>
        <w:tab/>
      </w:r>
    </w:p>
    <w:p w:rsidR="0068760C" w:rsidRPr="00987850" w:rsidRDefault="006A0313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         Z</w:t>
      </w:r>
      <w:r w:rsidR="0068760C" w:rsidRPr="00987850">
        <w:rPr>
          <w:rFonts w:asciiTheme="majorHAnsi" w:eastAsia="Times New Roman" w:hAnsiTheme="majorHAnsi" w:cs="Times New Roman"/>
          <w:color w:val="000000" w:themeColor="text1"/>
        </w:rPr>
        <w:t>bog potrebe na sajmovima kao i uredima</w:t>
      </w:r>
      <w:r w:rsidR="00987850" w:rsidRPr="00987850">
        <w:rPr>
          <w:rFonts w:asciiTheme="majorHAnsi" w:eastAsia="Times New Roman" w:hAnsiTheme="majorHAnsi" w:cs="Times New Roman"/>
          <w:color w:val="000000" w:themeColor="text1"/>
        </w:rPr>
        <w:t xml:space="preserve">  u 2013</w:t>
      </w:r>
      <w:r w:rsidR="0068760C" w:rsidRPr="00987850">
        <w:rPr>
          <w:rFonts w:asciiTheme="majorHAnsi" w:eastAsia="Times New Roman" w:hAnsiTheme="majorHAnsi" w:cs="Times New Roman"/>
          <w:color w:val="000000" w:themeColor="text1"/>
        </w:rPr>
        <w:t xml:space="preserve">.godini tiskani 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su </w:t>
      </w:r>
      <w:r w:rsidR="0068760C" w:rsidRPr="00987850">
        <w:rPr>
          <w:rFonts w:asciiTheme="majorHAnsi" w:eastAsia="Times New Roman" w:hAnsiTheme="majorHAnsi" w:cs="Times New Roman"/>
          <w:color w:val="000000" w:themeColor="text1"/>
        </w:rPr>
        <w:t>sljedeći materijali :</w:t>
      </w:r>
    </w:p>
    <w:p w:rsidR="0068760C" w:rsidRPr="00987850" w:rsidRDefault="0068760C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987850">
        <w:rPr>
          <w:rFonts w:asciiTheme="majorHAnsi" w:eastAsia="Times New Roman" w:hAnsiTheme="majorHAnsi" w:cs="Times New Roman"/>
          <w:color w:val="000000" w:themeColor="text1"/>
        </w:rPr>
        <w:t>Fun Hunter -Vo</w:t>
      </w:r>
      <w:r w:rsidR="006A0313" w:rsidRPr="00987850">
        <w:rPr>
          <w:rFonts w:asciiTheme="majorHAnsi" w:eastAsia="Times New Roman" w:hAnsiTheme="majorHAnsi" w:cs="Times New Roman"/>
          <w:color w:val="000000" w:themeColor="text1"/>
        </w:rPr>
        <w:t>dić Pelješca, prospekt Stona,Image b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>rošura</w:t>
      </w:r>
      <w:r w:rsidR="006A0313" w:rsidRPr="00987850">
        <w:rPr>
          <w:rFonts w:asciiTheme="majorHAnsi" w:eastAsia="Times New Roman" w:hAnsiTheme="majorHAnsi" w:cs="Times New Roman"/>
          <w:color w:val="000000" w:themeColor="text1"/>
        </w:rPr>
        <w:t xml:space="preserve"> Pelješca,Karta Pelješca</w:t>
      </w:r>
      <w:r w:rsidR="00987850" w:rsidRPr="00987850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>. TZO Ston u svom uredu je imala na raspolaganju i  prospekte Pelješki vinski puti , Županijsku informativnu kartu , monografiju Pelješca i razne promidžbene materijale prosljeđene  iz skladišta HTZ-a .</w:t>
      </w:r>
    </w:p>
    <w:p w:rsidR="0068760C" w:rsidRPr="00DA3E8E" w:rsidRDefault="0068760C" w:rsidP="0068760C">
      <w:pPr>
        <w:jc w:val="both"/>
        <w:rPr>
          <w:rFonts w:asciiTheme="majorHAnsi" w:eastAsia="Times New Roman" w:hAnsiTheme="majorHAnsi" w:cs="Times New Roman"/>
          <w:color w:val="FF0000"/>
        </w:rPr>
      </w:pP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        </w:t>
      </w:r>
      <w:r w:rsidR="00987850" w:rsidRPr="00987850">
        <w:rPr>
          <w:rFonts w:asciiTheme="majorHAnsi" w:eastAsia="Times New Roman" w:hAnsiTheme="majorHAnsi" w:cs="Times New Roman"/>
          <w:color w:val="000000" w:themeColor="text1"/>
        </w:rPr>
        <w:t>U 2013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.godini </w:t>
      </w:r>
      <w:r w:rsidR="00987850" w:rsidRPr="00987850">
        <w:rPr>
          <w:rFonts w:asciiTheme="majorHAnsi" w:eastAsia="Times New Roman" w:hAnsiTheme="majorHAnsi" w:cs="Times New Roman"/>
          <w:color w:val="000000" w:themeColor="text1"/>
        </w:rPr>
        <w:t xml:space="preserve">izrađena je nova platforma web stranice te se vršilo redovno 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 ažuriranje turističke ponude i svih događanja</w:t>
      </w:r>
      <w:r w:rsidR="004C3EAE">
        <w:rPr>
          <w:rFonts w:asciiTheme="majorHAnsi" w:eastAsia="Times New Roman" w:hAnsiTheme="majorHAnsi" w:cs="Times New Roman"/>
          <w:color w:val="000000" w:themeColor="text1"/>
        </w:rPr>
        <w:t>.</w:t>
      </w:r>
      <w:r w:rsidRPr="00DA3E8E">
        <w:rPr>
          <w:rFonts w:asciiTheme="majorHAnsi" w:eastAsia="Times New Roman" w:hAnsiTheme="majorHAnsi" w:cs="Times New Roman"/>
          <w:color w:val="FF0000"/>
        </w:rPr>
        <w:t xml:space="preserve"> </w:t>
      </w:r>
    </w:p>
    <w:p w:rsidR="0068760C" w:rsidRPr="004C3EAE" w:rsidRDefault="0068760C" w:rsidP="0068760C">
      <w:pPr>
        <w:jc w:val="both"/>
        <w:rPr>
          <w:rFonts w:asciiTheme="majorHAnsi" w:eastAsia="Times New Roman" w:hAnsiTheme="majorHAnsi" w:cs="Times New Roman"/>
        </w:rPr>
      </w:pPr>
      <w:r w:rsidRPr="00DA3E8E">
        <w:rPr>
          <w:rFonts w:asciiTheme="majorHAnsi" w:eastAsia="Times New Roman" w:hAnsiTheme="majorHAnsi" w:cs="Times New Roman"/>
          <w:color w:val="FF0000"/>
        </w:rPr>
        <w:t xml:space="preserve">       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>Oglašavali smo se u žutim stranicama,privrednim vodičima,časopicu Hot</w:t>
      </w:r>
      <w:r w:rsidR="0060745E" w:rsidRPr="00987850">
        <w:rPr>
          <w:rFonts w:asciiTheme="majorHAnsi" w:eastAsia="Times New Roman" w:hAnsiTheme="majorHAnsi" w:cs="Times New Roman"/>
          <w:color w:val="000000" w:themeColor="text1"/>
        </w:rPr>
        <w:t xml:space="preserve"> spot-južna Dalmacija,Turist info,Meridijani 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 xml:space="preserve"> te putem intern</w:t>
      </w:r>
      <w:r w:rsidR="0060745E" w:rsidRPr="00987850">
        <w:rPr>
          <w:rFonts w:asciiTheme="majorHAnsi" w:eastAsia="Times New Roman" w:hAnsiTheme="majorHAnsi" w:cs="Times New Roman"/>
          <w:color w:val="000000" w:themeColor="text1"/>
        </w:rPr>
        <w:t>et oglašavanja Virtual tour,Lux-neodoljiva Hrvatska.</w:t>
      </w:r>
      <w:r w:rsidRPr="00987850">
        <w:rPr>
          <w:rFonts w:asciiTheme="majorHAnsi" w:eastAsia="Times New Roman" w:hAnsiTheme="majorHAnsi" w:cs="Times New Roman"/>
          <w:color w:val="000000" w:themeColor="text1"/>
        </w:rPr>
        <w:t>Provode se i aktivnosti na najznačajnijim društvenim mrežama-Faceboo</w:t>
      </w:r>
      <w:r w:rsidR="0060745E" w:rsidRPr="00987850">
        <w:rPr>
          <w:rFonts w:asciiTheme="majorHAnsi" w:eastAsia="Times New Roman" w:hAnsiTheme="majorHAnsi" w:cs="Times New Roman"/>
          <w:color w:val="000000" w:themeColor="text1"/>
        </w:rPr>
        <w:t>k,Twitter i Youtube</w:t>
      </w:r>
      <w:r w:rsidR="004C3EAE">
        <w:rPr>
          <w:rFonts w:asciiTheme="majorHAnsi" w:eastAsia="Times New Roman" w:hAnsiTheme="majorHAnsi" w:cs="Times New Roman"/>
        </w:rPr>
        <w:t>.</w:t>
      </w:r>
    </w:p>
    <w:p w:rsidR="0068760C" w:rsidRPr="00815E0C" w:rsidRDefault="0068760C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815E0C">
        <w:rPr>
          <w:rFonts w:asciiTheme="majorHAnsi" w:eastAsia="Times New Roman" w:hAnsiTheme="majorHAnsi" w:cs="Times New Roman"/>
          <w:color w:val="000000" w:themeColor="text1"/>
        </w:rPr>
        <w:t>Ured Turističkog ureda u Stonu otvoren je cijelu godinu ,a od svibnja do listopada organizirali smo cjelodnevni rad Turističkog ureda(08:00-20:00).U Žuljani i Putnikoviću info uredi  su radili tokom turističke sezone.U sklopu toga organizirali smo informativnu službu,prijavu i odjavu gostiju ,te statističku obradu podataka.</w:t>
      </w:r>
    </w:p>
    <w:p w:rsidR="0068760C" w:rsidRPr="00815E0C" w:rsidRDefault="0068760C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815E0C">
        <w:rPr>
          <w:rFonts w:asciiTheme="majorHAnsi" w:eastAsia="Times New Roman" w:hAnsiTheme="majorHAnsi" w:cs="Times New Roman"/>
          <w:color w:val="000000" w:themeColor="text1"/>
        </w:rPr>
        <w:t>Našim privatnim iznajmljivačima i dalje je omogućena  besplatna prijava i odjava gostiju</w:t>
      </w:r>
      <w:r w:rsidR="00FF18AA">
        <w:rPr>
          <w:rFonts w:asciiTheme="majorHAnsi" w:eastAsia="Times New Roman" w:hAnsiTheme="majorHAnsi" w:cs="Times New Roman"/>
          <w:color w:val="000000" w:themeColor="text1"/>
        </w:rPr>
        <w:t xml:space="preserve"> putem on-line prijave</w:t>
      </w:r>
      <w:r w:rsidRPr="00815E0C">
        <w:rPr>
          <w:rFonts w:asciiTheme="majorHAnsi" w:eastAsia="Times New Roman" w:hAnsiTheme="majorHAnsi" w:cs="Times New Roman"/>
          <w:color w:val="000000" w:themeColor="text1"/>
        </w:rPr>
        <w:t xml:space="preserve">.Efekti </w:t>
      </w:r>
      <w:r w:rsidR="0032627E" w:rsidRPr="00815E0C">
        <w:rPr>
          <w:rFonts w:asciiTheme="majorHAnsi" w:eastAsia="Times New Roman" w:hAnsiTheme="majorHAnsi" w:cs="Times New Roman"/>
          <w:color w:val="000000" w:themeColor="text1"/>
        </w:rPr>
        <w:t>ovakvim</w:t>
      </w:r>
      <w:r w:rsidR="00773A67" w:rsidRPr="00815E0C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815E0C">
        <w:rPr>
          <w:rFonts w:asciiTheme="majorHAnsi" w:eastAsia="Times New Roman" w:hAnsiTheme="majorHAnsi" w:cs="Times New Roman"/>
          <w:color w:val="000000" w:themeColor="text1"/>
        </w:rPr>
        <w:t>načinom prijavljivanja su mnogostruki te očekujemo povećanje korištenje ove aplikacije u sljedećoj godini.</w:t>
      </w:r>
    </w:p>
    <w:p w:rsidR="008D6917" w:rsidRDefault="008D6917" w:rsidP="0068760C">
      <w:pPr>
        <w:jc w:val="both"/>
        <w:rPr>
          <w:rFonts w:ascii="Clarendon Condensed" w:eastAsia="Times New Roman" w:hAnsi="Clarendon Condensed" w:cs="Times New Roman"/>
          <w:b/>
          <w:color w:val="000000" w:themeColor="text1"/>
        </w:rPr>
      </w:pPr>
    </w:p>
    <w:p w:rsidR="00815E0C" w:rsidRPr="00815E0C" w:rsidRDefault="00815E0C" w:rsidP="0068760C">
      <w:pPr>
        <w:jc w:val="both"/>
        <w:rPr>
          <w:rFonts w:ascii="Clarendon Condensed" w:eastAsia="Times New Roman" w:hAnsi="Clarendon Condensed" w:cs="Times New Roman"/>
          <w:b/>
          <w:color w:val="000000" w:themeColor="text1"/>
        </w:rPr>
      </w:pPr>
    </w:p>
    <w:p w:rsidR="008D6917" w:rsidRDefault="008D6917" w:rsidP="0068760C">
      <w:pPr>
        <w:jc w:val="both"/>
        <w:rPr>
          <w:rFonts w:ascii="Clarendon Condensed" w:eastAsia="Times New Roman" w:hAnsi="Clarendon Condensed" w:cs="Times New Roman"/>
          <w:b/>
          <w:color w:val="FF0000"/>
          <w:sz w:val="24"/>
          <w:szCs w:val="24"/>
        </w:rPr>
      </w:pPr>
    </w:p>
    <w:p w:rsidR="000E766C" w:rsidRPr="00DA3E8E" w:rsidRDefault="000E766C" w:rsidP="0068760C">
      <w:pPr>
        <w:jc w:val="both"/>
        <w:rPr>
          <w:rFonts w:ascii="Clarendon Condensed" w:eastAsia="Times New Roman" w:hAnsi="Clarendon Condensed" w:cs="Times New Roman"/>
          <w:b/>
          <w:color w:val="FF0000"/>
          <w:sz w:val="24"/>
          <w:szCs w:val="24"/>
        </w:rPr>
      </w:pPr>
    </w:p>
    <w:p w:rsidR="00F658F6" w:rsidRPr="00DA3E8E" w:rsidRDefault="00F658F6" w:rsidP="0068760C">
      <w:pPr>
        <w:jc w:val="both"/>
        <w:rPr>
          <w:rFonts w:ascii="Clarendon Condensed" w:eastAsia="Times New Roman" w:hAnsi="Clarendon Condensed" w:cs="Times New Roman"/>
          <w:b/>
          <w:color w:val="FF0000"/>
          <w:sz w:val="24"/>
          <w:szCs w:val="24"/>
        </w:rPr>
      </w:pPr>
    </w:p>
    <w:p w:rsidR="0060745E" w:rsidRPr="00815E0C" w:rsidRDefault="0060745E" w:rsidP="0068760C">
      <w:pPr>
        <w:jc w:val="both"/>
        <w:rPr>
          <w:rFonts w:ascii="Clarendon Condensed" w:eastAsia="Times New Roman" w:hAnsi="Clarendon Condensed" w:cs="Times New Roman"/>
          <w:b/>
          <w:color w:val="000000" w:themeColor="text1"/>
          <w:sz w:val="24"/>
          <w:szCs w:val="24"/>
        </w:rPr>
      </w:pPr>
      <w:r w:rsidRPr="00815E0C">
        <w:rPr>
          <w:rFonts w:ascii="Clarendon Condensed" w:eastAsia="Times New Roman" w:hAnsi="Clarendon Condensed" w:cs="Times New Roman"/>
          <w:b/>
          <w:color w:val="000000" w:themeColor="text1"/>
          <w:sz w:val="24"/>
          <w:szCs w:val="24"/>
        </w:rPr>
        <w:lastRenderedPageBreak/>
        <w:t>2.FINANCIJSKO IZVJEŠĆE O POSLOVANJU</w:t>
      </w:r>
    </w:p>
    <w:p w:rsidR="00815E0C" w:rsidRPr="007F28AD" w:rsidRDefault="00032331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7F28AD">
        <w:rPr>
          <w:rFonts w:asciiTheme="majorHAnsi" w:eastAsia="Times New Roman" w:hAnsiTheme="majorHAnsi" w:cs="Times New Roman"/>
          <w:color w:val="000000" w:themeColor="text1"/>
        </w:rPr>
        <w:t>Bruto ostvareni prihodi do 31.12.</w:t>
      </w:r>
      <w:r w:rsidR="006E3BE1">
        <w:rPr>
          <w:rFonts w:asciiTheme="majorHAnsi" w:eastAsia="Times New Roman" w:hAnsiTheme="majorHAnsi" w:cs="Times New Roman"/>
          <w:color w:val="000000" w:themeColor="text1"/>
        </w:rPr>
        <w:t>2013.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>u o</w:t>
      </w:r>
      <w:r w:rsidR="00815E0C" w:rsidRPr="007F28AD">
        <w:rPr>
          <w:rFonts w:asciiTheme="majorHAnsi" w:eastAsia="Times New Roman" w:hAnsiTheme="majorHAnsi" w:cs="Times New Roman"/>
          <w:color w:val="000000" w:themeColor="text1"/>
        </w:rPr>
        <w:t>dnosu na završne podatke iz 2012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.godine ukazuju na rast </w:t>
      </w:r>
      <w:r w:rsidR="004640F8" w:rsidRPr="004640F8">
        <w:rPr>
          <w:rFonts w:asciiTheme="majorHAnsi" w:eastAsia="Times New Roman" w:hAnsiTheme="majorHAnsi" w:cs="Times New Roman"/>
        </w:rPr>
        <w:t>2%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ovogodišnjeg prihoda </w:t>
      </w:r>
      <w:r w:rsidR="006E3BE1">
        <w:rPr>
          <w:rFonts w:asciiTheme="majorHAnsi" w:eastAsia="Times New Roman" w:hAnsiTheme="majorHAnsi" w:cs="Times New Roman"/>
          <w:color w:val="000000" w:themeColor="text1"/>
        </w:rPr>
        <w:t xml:space="preserve">po osnovi boravišne pristojbe </w:t>
      </w:r>
      <w:r w:rsidR="004640F8">
        <w:rPr>
          <w:rFonts w:asciiTheme="majorHAnsi" w:eastAsia="Times New Roman" w:hAnsiTheme="majorHAnsi" w:cs="Times New Roman"/>
          <w:color w:val="000000" w:themeColor="text1"/>
        </w:rPr>
        <w:t>,turističke članarine te ostalih prihoda .</w:t>
      </w:r>
    </w:p>
    <w:p w:rsidR="00815E0C" w:rsidRPr="007F28AD" w:rsidRDefault="00815E0C" w:rsidP="007F28AD">
      <w:pPr>
        <w:rPr>
          <w:rFonts w:asciiTheme="majorHAnsi" w:eastAsia="Times New Roman" w:hAnsiTheme="majorHAnsi" w:cs="Times New Roman"/>
          <w:color w:val="000000" w:themeColor="text1"/>
        </w:rPr>
      </w:pP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Nažalost zbog preknjiženja krive uplate turističke članarine </w:t>
      </w:r>
      <w:r w:rsidR="00EE3489" w:rsidRPr="007F28AD">
        <w:rPr>
          <w:rFonts w:asciiTheme="majorHAnsi" w:eastAsia="Times New Roman" w:hAnsiTheme="majorHAnsi" w:cs="Times New Roman"/>
          <w:color w:val="000000" w:themeColor="text1"/>
        </w:rPr>
        <w:t xml:space="preserve">Anker grupe doo </w:t>
      </w:r>
      <w:r w:rsidR="00EE3489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CF7178">
        <w:rPr>
          <w:rFonts w:asciiTheme="majorHAnsi" w:eastAsia="Times New Roman" w:hAnsiTheme="majorHAnsi" w:cs="Times New Roman"/>
          <w:color w:val="000000" w:themeColor="text1"/>
        </w:rPr>
        <w:t>u izno</w:t>
      </w:r>
      <w:r w:rsidR="007F28AD">
        <w:rPr>
          <w:rFonts w:asciiTheme="majorHAnsi" w:eastAsia="Times New Roman" w:hAnsiTheme="majorHAnsi" w:cs="Times New Roman"/>
          <w:color w:val="000000" w:themeColor="text1"/>
        </w:rPr>
        <w:t>su od</w:t>
      </w:r>
      <w:r w:rsidR="00EE3489">
        <w:rPr>
          <w:rFonts w:asciiTheme="majorHAnsi" w:eastAsia="Times New Roman" w:hAnsiTheme="majorHAnsi" w:cs="Times New Roman"/>
          <w:color w:val="000000" w:themeColor="text1"/>
        </w:rPr>
        <w:t xml:space="preserve"> 45.369,89 za 2012.godinu i </w:t>
      </w:r>
      <w:r w:rsidR="00A74838">
        <w:rPr>
          <w:rFonts w:asciiTheme="majorHAnsi" w:eastAsia="Times New Roman" w:hAnsiTheme="majorHAnsi" w:cs="Times New Roman"/>
          <w:color w:val="000000" w:themeColor="text1"/>
        </w:rPr>
        <w:t>72</w:t>
      </w:r>
      <w:r w:rsidR="00EE3489">
        <w:rPr>
          <w:rFonts w:asciiTheme="majorHAnsi" w:eastAsia="Times New Roman" w:hAnsiTheme="majorHAnsi" w:cs="Times New Roman"/>
          <w:color w:val="000000" w:themeColor="text1"/>
        </w:rPr>
        <w:t>.</w:t>
      </w:r>
      <w:r w:rsidR="00A74838">
        <w:rPr>
          <w:rFonts w:asciiTheme="majorHAnsi" w:eastAsia="Times New Roman" w:hAnsiTheme="majorHAnsi" w:cs="Times New Roman"/>
          <w:color w:val="000000" w:themeColor="text1"/>
        </w:rPr>
        <w:t>564,00 za 2013</w:t>
      </w:r>
      <w:r w:rsidR="00EE3489">
        <w:rPr>
          <w:rFonts w:asciiTheme="majorHAnsi" w:eastAsia="Times New Roman" w:hAnsiTheme="majorHAnsi" w:cs="Times New Roman"/>
          <w:color w:val="000000" w:themeColor="text1"/>
        </w:rPr>
        <w:t xml:space="preserve">.godinu 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 uskračeni smo za taj iznos kojeg nam Porezna uprava od mjeseca srpnja 2013. </w:t>
      </w:r>
      <w:r w:rsidR="00EE3489">
        <w:rPr>
          <w:rFonts w:asciiTheme="majorHAnsi" w:eastAsia="Times New Roman" w:hAnsiTheme="majorHAnsi" w:cs="Times New Roman"/>
          <w:color w:val="000000" w:themeColor="text1"/>
        </w:rPr>
        <w:t xml:space="preserve">godine </w:t>
      </w:r>
      <w:r w:rsidR="007F28AD">
        <w:rPr>
          <w:rFonts w:asciiTheme="majorHAnsi" w:eastAsia="Times New Roman" w:hAnsiTheme="majorHAnsi" w:cs="Times New Roman"/>
          <w:color w:val="000000" w:themeColor="text1"/>
        </w:rPr>
        <w:t>knjiži</w:t>
      </w:r>
      <w:r w:rsidR="00EE3489">
        <w:rPr>
          <w:rFonts w:asciiTheme="majorHAnsi" w:eastAsia="Times New Roman" w:hAnsiTheme="majorHAnsi" w:cs="Times New Roman"/>
          <w:color w:val="000000" w:themeColor="text1"/>
        </w:rPr>
        <w:t xml:space="preserve"> na konto 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 TZ</w:t>
      </w:r>
      <w:r w:rsidR="00FF18AA">
        <w:rPr>
          <w:rFonts w:asciiTheme="majorHAnsi" w:eastAsia="Times New Roman" w:hAnsiTheme="majorHAnsi" w:cs="Times New Roman"/>
          <w:color w:val="000000" w:themeColor="text1"/>
        </w:rPr>
        <w:t xml:space="preserve"> Du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>brovnika.</w:t>
      </w:r>
      <w:r w:rsidR="007F28AD">
        <w:rPr>
          <w:rFonts w:asciiTheme="majorHAnsi" w:eastAsia="Times New Roman" w:hAnsiTheme="majorHAnsi" w:cs="Times New Roman"/>
          <w:color w:val="000000" w:themeColor="text1"/>
        </w:rPr>
        <w:t>Sagledavajući  dosadašnje godišnje uplate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7F28AD">
        <w:rPr>
          <w:rFonts w:asciiTheme="majorHAnsi" w:eastAsia="Times New Roman" w:hAnsiTheme="majorHAnsi" w:cs="Times New Roman"/>
          <w:color w:val="000000" w:themeColor="text1"/>
        </w:rPr>
        <w:t xml:space="preserve">turističke članarine 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>mišljenja smo da će se  kroz 2014</w:t>
      </w:r>
      <w:r w:rsidR="00EE3489">
        <w:rPr>
          <w:rFonts w:asciiTheme="majorHAnsi" w:eastAsia="Times New Roman" w:hAnsiTheme="majorHAnsi" w:cs="Times New Roman"/>
          <w:color w:val="000000" w:themeColor="text1"/>
        </w:rPr>
        <w:t>.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 i 2015</w:t>
      </w:r>
      <w:r w:rsidR="00EE3489">
        <w:rPr>
          <w:rFonts w:asciiTheme="majorHAnsi" w:eastAsia="Times New Roman" w:hAnsiTheme="majorHAnsi" w:cs="Times New Roman"/>
          <w:color w:val="000000" w:themeColor="text1"/>
        </w:rPr>
        <w:t>.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 xml:space="preserve"> godin</w:t>
      </w:r>
      <w:r w:rsidR="00EE3489">
        <w:rPr>
          <w:rFonts w:asciiTheme="majorHAnsi" w:eastAsia="Times New Roman" w:hAnsiTheme="majorHAnsi" w:cs="Times New Roman"/>
          <w:color w:val="000000" w:themeColor="text1"/>
        </w:rPr>
        <w:t>u preknjižiti cijelokupni dug ,a do tada ćemo biti prisiljeni da naš Financijski plan za 2014.godinu  korigiramo odnosno umanjimo  za 40.000,00 kn kao što je u Programu rada  planirano.</w:t>
      </w:r>
    </w:p>
    <w:p w:rsidR="00032331" w:rsidRPr="007F28AD" w:rsidRDefault="004A4676" w:rsidP="0068760C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7F28AD">
        <w:rPr>
          <w:rFonts w:asciiTheme="majorHAnsi" w:eastAsia="Times New Roman" w:hAnsiTheme="majorHAnsi" w:cs="Times New Roman"/>
          <w:color w:val="000000" w:themeColor="text1"/>
        </w:rPr>
        <w:t>Ostali prihodi u tablici odnose se na prihode od proračuna općine Ston,</w:t>
      </w:r>
      <w:r w:rsidR="007F28AD">
        <w:rPr>
          <w:rFonts w:asciiTheme="majorHAnsi" w:eastAsia="Times New Roman" w:hAnsiTheme="majorHAnsi" w:cs="Times New Roman"/>
          <w:color w:val="000000" w:themeColor="text1"/>
        </w:rPr>
        <w:t>sufinancij</w:t>
      </w:r>
      <w:r w:rsidR="00AC4EF0">
        <w:rPr>
          <w:rFonts w:asciiTheme="majorHAnsi" w:eastAsia="Times New Roman" w:hAnsiTheme="majorHAnsi" w:cs="Times New Roman"/>
          <w:color w:val="000000" w:themeColor="text1"/>
        </w:rPr>
        <w:t>anje HZZ-a ,MINT-a,HTZ,TZŽ,ŽDN ,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>boravišne pristojbe od Nautičara</w:t>
      </w:r>
      <w:r w:rsidR="00AC4EF0">
        <w:rPr>
          <w:rFonts w:asciiTheme="majorHAnsi" w:eastAsia="Times New Roman" w:hAnsiTheme="majorHAnsi" w:cs="Times New Roman"/>
          <w:color w:val="000000" w:themeColor="text1"/>
        </w:rPr>
        <w:t xml:space="preserve"> te prihoda od kamata</w:t>
      </w:r>
      <w:r w:rsidRPr="007F28AD">
        <w:rPr>
          <w:rFonts w:asciiTheme="majorHAnsi" w:eastAsia="Times New Roman" w:hAnsiTheme="majorHAnsi" w:cs="Times New Roman"/>
          <w:color w:val="000000" w:themeColor="text1"/>
        </w:rPr>
        <w:t>.</w:t>
      </w:r>
    </w:p>
    <w:p w:rsidR="00F658F6" w:rsidRPr="007F28AD" w:rsidRDefault="00F658F6" w:rsidP="00065FA3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065FA3" w:rsidRPr="007F28AD" w:rsidRDefault="00065FA3" w:rsidP="00065FA3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F28AD">
        <w:rPr>
          <w:b/>
          <w:color w:val="000000" w:themeColor="text1"/>
          <w:sz w:val="24"/>
          <w:szCs w:val="24"/>
          <w:u w:val="single"/>
        </w:rPr>
        <w:t>Tablica</w:t>
      </w:r>
      <w:r w:rsidR="003B19AB">
        <w:rPr>
          <w:b/>
          <w:color w:val="000000" w:themeColor="text1"/>
          <w:sz w:val="24"/>
          <w:szCs w:val="24"/>
          <w:u w:val="single"/>
        </w:rPr>
        <w:t xml:space="preserve"> 1. Bruto prihodi pregled 2012 - 2013</w:t>
      </w:r>
    </w:p>
    <w:tbl>
      <w:tblPr>
        <w:tblStyle w:val="TableGrid"/>
        <w:tblW w:w="9287" w:type="dxa"/>
        <w:tblLook w:val="04A0"/>
      </w:tblPr>
      <w:tblGrid>
        <w:gridCol w:w="2285"/>
        <w:gridCol w:w="1805"/>
        <w:gridCol w:w="1805"/>
        <w:gridCol w:w="1635"/>
        <w:gridCol w:w="1757"/>
      </w:tblGrid>
      <w:tr w:rsidR="00815E0C" w:rsidRPr="007F28AD" w:rsidTr="00815E0C">
        <w:tc>
          <w:tcPr>
            <w:tcW w:w="228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815E0C" w:rsidRPr="007F28AD" w:rsidRDefault="00815E0C" w:rsidP="00D14ADE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31.12.2012</w:t>
            </w:r>
          </w:p>
        </w:tc>
        <w:tc>
          <w:tcPr>
            <w:tcW w:w="180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31.12.2013</w:t>
            </w:r>
          </w:p>
        </w:tc>
        <w:tc>
          <w:tcPr>
            <w:tcW w:w="163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index</w:t>
            </w:r>
          </w:p>
        </w:tc>
        <w:tc>
          <w:tcPr>
            <w:tcW w:w="1757" w:type="dxa"/>
          </w:tcPr>
          <w:p w:rsidR="00815E0C" w:rsidRPr="007F28AD" w:rsidRDefault="007F28AD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Razlika13-12</w:t>
            </w:r>
          </w:p>
        </w:tc>
      </w:tr>
      <w:tr w:rsidR="00815E0C" w:rsidRPr="007F28AD" w:rsidTr="00815E0C">
        <w:tc>
          <w:tcPr>
            <w:tcW w:w="228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B.pristojba</w:t>
            </w:r>
          </w:p>
        </w:tc>
        <w:tc>
          <w:tcPr>
            <w:tcW w:w="1805" w:type="dxa"/>
          </w:tcPr>
          <w:p w:rsidR="00815E0C" w:rsidRPr="007F28AD" w:rsidRDefault="00815E0C" w:rsidP="00D14ADE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383.020,59</w:t>
            </w:r>
          </w:p>
        </w:tc>
        <w:tc>
          <w:tcPr>
            <w:tcW w:w="1805" w:type="dxa"/>
          </w:tcPr>
          <w:p w:rsidR="00815E0C" w:rsidRPr="00AC4EF0" w:rsidRDefault="00F13CDA" w:rsidP="004532F5">
            <w:pPr>
              <w:jc w:val="both"/>
            </w:pPr>
            <w:r w:rsidRPr="00AC4EF0">
              <w:t>386.744,51</w:t>
            </w:r>
          </w:p>
        </w:tc>
        <w:tc>
          <w:tcPr>
            <w:tcW w:w="1635" w:type="dxa"/>
          </w:tcPr>
          <w:p w:rsidR="00815E0C" w:rsidRPr="00AC4EF0" w:rsidRDefault="00CF7178" w:rsidP="004532F5">
            <w:pPr>
              <w:jc w:val="both"/>
            </w:pPr>
            <w:r w:rsidRPr="00AC4EF0">
              <w:t>100,97</w:t>
            </w:r>
          </w:p>
        </w:tc>
        <w:tc>
          <w:tcPr>
            <w:tcW w:w="1757" w:type="dxa"/>
          </w:tcPr>
          <w:p w:rsidR="00815E0C" w:rsidRPr="00AC4EF0" w:rsidRDefault="00CF7178" w:rsidP="004532F5">
            <w:pPr>
              <w:jc w:val="both"/>
            </w:pPr>
            <w:r w:rsidRPr="00AC4EF0">
              <w:t xml:space="preserve">  3.723,92</w:t>
            </w:r>
          </w:p>
        </w:tc>
      </w:tr>
      <w:tr w:rsidR="00815E0C" w:rsidRPr="007F28AD" w:rsidTr="00815E0C">
        <w:tc>
          <w:tcPr>
            <w:tcW w:w="228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Turist.članarina</w:t>
            </w:r>
          </w:p>
        </w:tc>
        <w:tc>
          <w:tcPr>
            <w:tcW w:w="1805" w:type="dxa"/>
          </w:tcPr>
          <w:p w:rsidR="00815E0C" w:rsidRPr="007F28AD" w:rsidRDefault="00815E0C" w:rsidP="00D14ADE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 xml:space="preserve">  71.619,41</w:t>
            </w:r>
          </w:p>
        </w:tc>
        <w:tc>
          <w:tcPr>
            <w:tcW w:w="1805" w:type="dxa"/>
          </w:tcPr>
          <w:p w:rsidR="00815E0C" w:rsidRPr="00AC4EF0" w:rsidRDefault="005F2055" w:rsidP="00E8737C">
            <w:pPr>
              <w:jc w:val="both"/>
            </w:pPr>
            <w:r w:rsidRPr="00AC4EF0">
              <w:t xml:space="preserve">  </w:t>
            </w:r>
            <w:r w:rsidR="00F13CDA" w:rsidRPr="00AC4EF0">
              <w:t>84.838,70</w:t>
            </w:r>
          </w:p>
        </w:tc>
        <w:tc>
          <w:tcPr>
            <w:tcW w:w="1635" w:type="dxa"/>
          </w:tcPr>
          <w:p w:rsidR="00815E0C" w:rsidRPr="00AC4EF0" w:rsidRDefault="00CF7178" w:rsidP="004532F5">
            <w:pPr>
              <w:jc w:val="both"/>
            </w:pPr>
            <w:r w:rsidRPr="00AC4EF0">
              <w:t>118,45</w:t>
            </w:r>
          </w:p>
        </w:tc>
        <w:tc>
          <w:tcPr>
            <w:tcW w:w="1757" w:type="dxa"/>
          </w:tcPr>
          <w:p w:rsidR="00815E0C" w:rsidRPr="00AC4EF0" w:rsidRDefault="00CF7178" w:rsidP="004532F5">
            <w:pPr>
              <w:jc w:val="both"/>
            </w:pPr>
            <w:r w:rsidRPr="00AC4EF0">
              <w:t>13.219,29</w:t>
            </w:r>
          </w:p>
        </w:tc>
      </w:tr>
      <w:tr w:rsidR="00815E0C" w:rsidRPr="007F28AD" w:rsidTr="00815E0C">
        <w:tc>
          <w:tcPr>
            <w:tcW w:w="228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 xml:space="preserve">Ostali prihodi </w:t>
            </w:r>
            <w:r w:rsidR="002F576F">
              <w:rPr>
                <w:color w:val="000000" w:themeColor="text1"/>
              </w:rPr>
              <w:t xml:space="preserve"> </w:t>
            </w:r>
          </w:p>
        </w:tc>
        <w:tc>
          <w:tcPr>
            <w:tcW w:w="1805" w:type="dxa"/>
          </w:tcPr>
          <w:p w:rsidR="00815E0C" w:rsidRPr="007F28AD" w:rsidRDefault="002F576F" w:rsidP="00D14A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256.421,04</w:t>
            </w:r>
          </w:p>
        </w:tc>
        <w:tc>
          <w:tcPr>
            <w:tcW w:w="1805" w:type="dxa"/>
          </w:tcPr>
          <w:p w:rsidR="00815E0C" w:rsidRPr="00AC4EF0" w:rsidRDefault="005F2055" w:rsidP="004532F5">
            <w:pPr>
              <w:jc w:val="both"/>
            </w:pPr>
            <w:r w:rsidRPr="00AC4EF0">
              <w:t>254.422,59</w:t>
            </w:r>
          </w:p>
        </w:tc>
        <w:tc>
          <w:tcPr>
            <w:tcW w:w="1635" w:type="dxa"/>
          </w:tcPr>
          <w:p w:rsidR="00815E0C" w:rsidRPr="00AC4EF0" w:rsidRDefault="00CF7178" w:rsidP="004532F5">
            <w:pPr>
              <w:jc w:val="both"/>
            </w:pPr>
            <w:r w:rsidRPr="00AC4EF0">
              <w:t>99,22</w:t>
            </w:r>
          </w:p>
        </w:tc>
        <w:tc>
          <w:tcPr>
            <w:tcW w:w="1757" w:type="dxa"/>
          </w:tcPr>
          <w:p w:rsidR="00815E0C" w:rsidRPr="00AC4EF0" w:rsidRDefault="00CF7178" w:rsidP="00CF7178">
            <w:pPr>
              <w:jc w:val="both"/>
            </w:pPr>
            <w:r w:rsidRPr="00AC4EF0">
              <w:t>-1.998,45</w:t>
            </w:r>
          </w:p>
        </w:tc>
      </w:tr>
      <w:tr w:rsidR="00815E0C" w:rsidRPr="007F28AD" w:rsidTr="00815E0C">
        <w:tc>
          <w:tcPr>
            <w:tcW w:w="2285" w:type="dxa"/>
          </w:tcPr>
          <w:p w:rsidR="00815E0C" w:rsidRPr="007F28AD" w:rsidRDefault="00815E0C" w:rsidP="004532F5">
            <w:pPr>
              <w:jc w:val="both"/>
              <w:rPr>
                <w:color w:val="000000" w:themeColor="text1"/>
              </w:rPr>
            </w:pPr>
            <w:r w:rsidRPr="007F28AD">
              <w:rPr>
                <w:color w:val="000000" w:themeColor="text1"/>
              </w:rPr>
              <w:t>Ukupno</w:t>
            </w:r>
          </w:p>
        </w:tc>
        <w:tc>
          <w:tcPr>
            <w:tcW w:w="1805" w:type="dxa"/>
          </w:tcPr>
          <w:p w:rsidR="00815E0C" w:rsidRPr="007F28AD" w:rsidRDefault="002F576F" w:rsidP="00D14A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711.061,04</w:t>
            </w:r>
          </w:p>
        </w:tc>
        <w:tc>
          <w:tcPr>
            <w:tcW w:w="1805" w:type="dxa"/>
          </w:tcPr>
          <w:p w:rsidR="00815E0C" w:rsidRPr="00AC4EF0" w:rsidRDefault="00F13CDA" w:rsidP="004532F5">
            <w:pPr>
              <w:jc w:val="both"/>
            </w:pPr>
            <w:r w:rsidRPr="00AC4EF0">
              <w:t>726.005,80</w:t>
            </w:r>
          </w:p>
        </w:tc>
        <w:tc>
          <w:tcPr>
            <w:tcW w:w="1635" w:type="dxa"/>
          </w:tcPr>
          <w:p w:rsidR="00815E0C" w:rsidRPr="00AC4EF0" w:rsidRDefault="00CF7178" w:rsidP="004532F5">
            <w:pPr>
              <w:jc w:val="both"/>
            </w:pPr>
            <w:r w:rsidRPr="00AC4EF0">
              <w:t>102,10</w:t>
            </w:r>
          </w:p>
        </w:tc>
        <w:tc>
          <w:tcPr>
            <w:tcW w:w="1757" w:type="dxa"/>
          </w:tcPr>
          <w:p w:rsidR="00815E0C" w:rsidRPr="00AC4EF0" w:rsidRDefault="00CF7178" w:rsidP="004532F5">
            <w:pPr>
              <w:jc w:val="both"/>
            </w:pPr>
            <w:r w:rsidRPr="00AC4EF0">
              <w:t>14.944,76</w:t>
            </w:r>
          </w:p>
        </w:tc>
      </w:tr>
    </w:tbl>
    <w:p w:rsidR="004A4676" w:rsidRPr="007F28AD" w:rsidRDefault="004A4676" w:rsidP="00065FA3">
      <w:pPr>
        <w:jc w:val="both"/>
        <w:rPr>
          <w:rFonts w:ascii="Californian FB" w:hAnsi="Californian FB"/>
          <w:b/>
          <w:color w:val="000000" w:themeColor="text1"/>
          <w:sz w:val="32"/>
          <w:szCs w:val="32"/>
          <w:u w:val="single"/>
        </w:rPr>
      </w:pPr>
    </w:p>
    <w:p w:rsidR="00B75CE1" w:rsidRPr="007F28AD" w:rsidRDefault="008D6917" w:rsidP="00065FA3">
      <w:pPr>
        <w:jc w:val="both"/>
        <w:rPr>
          <w:rFonts w:asciiTheme="majorHAnsi" w:hAnsiTheme="majorHAnsi"/>
          <w:color w:val="000000" w:themeColor="text1"/>
        </w:rPr>
      </w:pPr>
      <w:r w:rsidRPr="007F28AD">
        <w:rPr>
          <w:rFonts w:asciiTheme="majorHAnsi" w:hAnsiTheme="majorHAnsi"/>
          <w:color w:val="000000" w:themeColor="text1"/>
        </w:rPr>
        <w:t>U tablici broj 1.navedeni su bruto prihodi TZO Ston u protekle dvije godine.Iz tablice razvidno je da je prihod TZO Ston</w:t>
      </w:r>
      <w:r w:rsidR="007F28AD" w:rsidRPr="007F28AD">
        <w:rPr>
          <w:rFonts w:asciiTheme="majorHAnsi" w:hAnsiTheme="majorHAnsi"/>
          <w:color w:val="000000" w:themeColor="text1"/>
        </w:rPr>
        <w:t>u 2013</w:t>
      </w:r>
      <w:r w:rsidR="00802959" w:rsidRPr="007F28AD">
        <w:rPr>
          <w:rFonts w:asciiTheme="majorHAnsi" w:hAnsiTheme="majorHAnsi"/>
          <w:color w:val="000000" w:themeColor="text1"/>
        </w:rPr>
        <w:t>.</w:t>
      </w:r>
      <w:r w:rsidRPr="007F28AD">
        <w:rPr>
          <w:rFonts w:asciiTheme="majorHAnsi" w:hAnsiTheme="majorHAnsi"/>
          <w:color w:val="000000" w:themeColor="text1"/>
        </w:rPr>
        <w:t xml:space="preserve"> </w:t>
      </w:r>
      <w:r w:rsidR="00802959" w:rsidRPr="00CF7178">
        <w:rPr>
          <w:rFonts w:asciiTheme="majorHAnsi" w:hAnsiTheme="majorHAnsi"/>
        </w:rPr>
        <w:t xml:space="preserve">nešto </w:t>
      </w:r>
      <w:r w:rsidR="007F28AD" w:rsidRPr="00CF7178">
        <w:rPr>
          <w:rFonts w:asciiTheme="majorHAnsi" w:hAnsiTheme="majorHAnsi"/>
        </w:rPr>
        <w:t>veći</w:t>
      </w:r>
      <w:r w:rsidR="007F28AD" w:rsidRPr="007F28AD">
        <w:rPr>
          <w:rFonts w:asciiTheme="majorHAnsi" w:hAnsiTheme="majorHAnsi"/>
          <w:color w:val="000000" w:themeColor="text1"/>
        </w:rPr>
        <w:t xml:space="preserve"> u odnosu na 2012</w:t>
      </w:r>
      <w:r w:rsidRPr="007F28AD">
        <w:rPr>
          <w:rFonts w:asciiTheme="majorHAnsi" w:hAnsiTheme="majorHAnsi"/>
          <w:color w:val="000000" w:themeColor="text1"/>
        </w:rPr>
        <w:t>.</w:t>
      </w:r>
      <w:r w:rsidR="009F5F22">
        <w:rPr>
          <w:rFonts w:asciiTheme="majorHAnsi" w:hAnsiTheme="majorHAnsi"/>
          <w:color w:val="000000" w:themeColor="text1"/>
        </w:rPr>
        <w:t>godini.</w:t>
      </w: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F658F6" w:rsidRPr="00DA3E8E" w:rsidRDefault="00F658F6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32627E" w:rsidRPr="00DA3E8E" w:rsidRDefault="0032627E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32627E" w:rsidRDefault="0032627E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A04988" w:rsidRPr="00DA3E8E" w:rsidRDefault="00A04988" w:rsidP="00065FA3">
      <w:pPr>
        <w:jc w:val="both"/>
        <w:rPr>
          <w:b/>
          <w:color w:val="FF0000"/>
          <w:sz w:val="24"/>
          <w:szCs w:val="24"/>
          <w:u w:val="single"/>
        </w:rPr>
      </w:pPr>
    </w:p>
    <w:p w:rsidR="0032627E" w:rsidRPr="00DA3E8E" w:rsidRDefault="0032627E" w:rsidP="00065FA3">
      <w:pPr>
        <w:jc w:val="both"/>
        <w:rPr>
          <w:b/>
          <w:color w:val="FF0000"/>
          <w:sz w:val="24"/>
          <w:szCs w:val="24"/>
          <w:u w:val="single"/>
        </w:rPr>
      </w:pPr>
    </w:p>
    <w:tbl>
      <w:tblPr>
        <w:tblW w:w="10388" w:type="dxa"/>
        <w:tblInd w:w="-318" w:type="dxa"/>
        <w:tblLook w:val="04A0"/>
      </w:tblPr>
      <w:tblGrid>
        <w:gridCol w:w="898"/>
        <w:gridCol w:w="4380"/>
        <w:gridCol w:w="1290"/>
        <w:gridCol w:w="1332"/>
        <w:gridCol w:w="1262"/>
        <w:gridCol w:w="1226"/>
      </w:tblGrid>
      <w:tr w:rsidR="00A370B2" w:rsidRPr="00A370B2" w:rsidTr="00373A2C">
        <w:trPr>
          <w:trHeight w:val="7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A370B2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0B2" w:rsidRPr="00A370B2" w:rsidRDefault="00A370B2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FINANCIJSKO IZVJEŠĆE ZA 2013.GODINU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A370B2" w:rsidRDefault="00A370B2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A370B2" w:rsidRDefault="00A370B2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Default="00A370B2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36643" w:rsidRDefault="00936643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36643" w:rsidRPr="00A370B2" w:rsidRDefault="00936643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A370B2" w:rsidRDefault="00A370B2" w:rsidP="00A3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33268" w:rsidRPr="00A370B2" w:rsidTr="00373A2C">
        <w:trPr>
          <w:trHeight w:val="7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PO VRSTAMA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OSTVARENJE PLANA 2013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 2013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indeks     OSTVARENO 2013/ PLAN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STRUKTURA 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od boravišne pristojbe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386.744,51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0,45%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43,78%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boravišne pristojbe -nautičari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33.513,19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33.513,19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2,54%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od turističke članarine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84.838,70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75.719,32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12,04%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8,61%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iz proračuna općine/grada/državnog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124.036,13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122.058,24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13,88%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programske aktivnosti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124.036,13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122.058,24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100,00%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 funkcioniranje turističkog ureda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Prihodi od drugih aktivnosti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Prijenos prihoda prethodne godine (Višak prethodne godine ukoliko je isti ostvaren)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182.826,62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200.290,78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-8,72%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22,78%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96.873,27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96.232,68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0,67%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10,94%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3268" w:rsidRPr="00533268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SVEUKUPNO PRIHODI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908.832,42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879.301,02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3,36%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100,00%</w:t>
            </w:r>
          </w:p>
        </w:tc>
      </w:tr>
      <w:tr w:rsidR="00533268" w:rsidRPr="00A370B2" w:rsidTr="00373A2C">
        <w:trPr>
          <w:trHeight w:val="7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RB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RASHODI PO VRSTAMA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OSTVARENJE PLANA 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PLAN 2013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indeks     PLAN 2013/ OSTVARENO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highlight w:val="lightGray"/>
              </w:rPr>
              <w:t>STRUKTURA 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ADMINISTRATIVNI RASHODI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309.784,44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303.689,78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44,31%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Rashodi za radnike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240.977,48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239.604,83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78,90%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Rashodi ureda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51.398,54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51.398,54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16,92%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Rashodi TIC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17.408,42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12.686,41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33,74%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4,18%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Rashodi za rad tijela Turističke zajednice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DIZAJN VRIJEDNOSTI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160.399,89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148.530,55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7,99%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21,67%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 xml:space="preserve">Poticanje i sudjelovanje u uređenju grada/općine/mjesta/ </w:t>
            </w: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(osim izgradnje komunalne infrastrukture)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6.311,57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4.725,30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33,57%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3,18%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Projekt Volim Hrvatsku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6.311,57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4.725,30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33,57%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100,00%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107.838,32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97.889,25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10,16%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65,91%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Kulturno-zabavne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64.502,07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59.412,96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8,57%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60,69%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 xml:space="preserve">Sportske manifestacije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15.006,94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14.796,25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1,42%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15,12%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Ekološke manifestacije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1.204,31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1.680,04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-28,32%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1,72%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Ostale manifestacije(baneri)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Potpore manifestacijama (suorganizacija s drugim subjektima te donacije drugima za manifestacije)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22,47%</w:t>
            </w:r>
          </w:p>
        </w:tc>
      </w:tr>
      <w:tr w:rsidR="00533268" w:rsidRPr="00A370B2" w:rsidTr="00373A2C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Novi proizvodi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46.250,00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45.916,00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0,73%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30,91%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Potpora razvoju DMK-a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KOMUNIKACIJA VRIJEDNOSTI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85.688,69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78.853,94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8,67%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11,51%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Online komunikacije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9.552,50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41,52%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8,56%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Internet oglašavanje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Internet stranice i upravljanje Internet stranicama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9.552,50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41,52%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100,00%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Offline komunikacije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42.361,19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41.566,44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52,71%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Oglašavanje u promotivnim kampanjama javnog i privatnog sektora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2,41%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Opće oglašavanje (Oglašavanje u tisku, TV oglašavanje…)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4.985,00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4.420,00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12,78%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10,63%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Brošure i ostali tiskani materijali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29.655,31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30.095,31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-1,46%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72,40%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Suveniri i promo materijali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4.107,25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9,62%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Info table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3.613,63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2.051,13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76,18%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4,93%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Smeđa signalizacija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33.775,00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30.537,50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10,60%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38,73%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DISTRIBUCIJA I PRODAJA VRIJEDNOSTI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18.283,90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17.941,51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2,62%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Sajmovi (u skladu sa zakonskim propisima i propisanim pravilima za sustav TZ)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Studijska putovanja novinara, agenata, opinion maker-a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6.201,64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3,36%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0,07924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Studijska putovanja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Posebne prezentacije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12.082,26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11.941,51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0,1577076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INTERNI MARKETING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7.235,62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-9,55%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1,17%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Edukacija (zaposleni, subjekti javnog i privatnog sektora)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6.201,64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-11,41%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87,50%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 xml:space="preserve">Koordinacija subjekata koji su neposredno ili posredno uključeni u turistički promet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Izvješća, planovi....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1.033,98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3,40%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12,50%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Nagrade i priznanja (Projekt Volim Hrvatsku i ostalo)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MARKETINŠKA INFRASTRUKTURA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12.306,90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-3,85%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1,87%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Proizvodnja multimedijalnih materijala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Istraživanje tržišta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Formiranje baze podataka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Suradnja s međunarodnim institucijama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Banka fotografija i priprema u izdavaštvu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3.506,90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-12,33%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31,25%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Jedinstveni turistički informacijski sustav (prijava i odjava gostiju, statistika i dr.)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68,75%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VII.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POSEBNI PROGRAMI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Poticanje i pomaganje razvoja turizma na područjima koja nisu turistički razvijena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68" w:rsidRPr="00373A2C" w:rsidRDefault="005332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color w:val="000000"/>
                <w:sz w:val="16"/>
                <w:szCs w:val="16"/>
              </w:rPr>
              <w:t>#DIV/0!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OSTALO </w:t>
            </w: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(planovi razvoja turizma, strateški marketing planovi i ostalo)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TRANSFER BORAVIŠNE PRISTOJBE OPĆINI/GRADU (30%)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115.582,26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115.500,00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0,45%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16,85%</w:t>
            </w:r>
          </w:p>
        </w:tc>
      </w:tr>
      <w:tr w:rsidR="00533268" w:rsidRPr="00A370B2" w:rsidTr="00373A2C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POKRIVANJE MANJKA IZ PRETHODNE GODINE ( ukoliko je isti ostvaren)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33268" w:rsidRPr="00A370B2" w:rsidTr="00373A2C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3268" w:rsidRPr="00533268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533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SVEUKUPNO RASHODI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709.281,70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685.315,78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lightGray"/>
              </w:rPr>
              <w:t>3,50%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lightGray"/>
              </w:rPr>
              <w:t>100,00%</w:t>
            </w:r>
          </w:p>
        </w:tc>
      </w:tr>
      <w:tr w:rsidR="00533268" w:rsidRPr="00A370B2" w:rsidTr="00373A2C">
        <w:trPr>
          <w:trHeight w:val="7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33268" w:rsidRPr="00A370B2" w:rsidRDefault="00533268" w:rsidP="00A370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70B2">
              <w:rPr>
                <w:rFonts w:ascii="Calibri" w:eastAsia="Times New Roman" w:hAnsi="Calibri" w:cs="Times New Roman"/>
                <w:sz w:val="20"/>
                <w:szCs w:val="20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199.550,72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193.985,24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533268" w:rsidRDefault="0053326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326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2,87%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33268" w:rsidRPr="00373A2C" w:rsidRDefault="0053326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73A2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</w:tbl>
    <w:p w:rsidR="00D46DB2" w:rsidRPr="00DA3E8E" w:rsidRDefault="00D46DB2" w:rsidP="00065FA3">
      <w:pPr>
        <w:jc w:val="both"/>
        <w:rPr>
          <w:b/>
          <w:color w:val="FF0000"/>
          <w:sz w:val="24"/>
          <w:szCs w:val="24"/>
          <w:u w:val="single"/>
        </w:rPr>
      </w:pPr>
    </w:p>
    <w:tbl>
      <w:tblPr>
        <w:tblW w:w="1505" w:type="dxa"/>
        <w:tblInd w:w="93" w:type="dxa"/>
        <w:tblLayout w:type="fixed"/>
        <w:tblLook w:val="04A0"/>
      </w:tblPr>
      <w:tblGrid>
        <w:gridCol w:w="277"/>
        <w:gridCol w:w="445"/>
        <w:gridCol w:w="284"/>
        <w:gridCol w:w="263"/>
        <w:gridCol w:w="236"/>
      </w:tblGrid>
      <w:tr w:rsidR="00A370B2" w:rsidRPr="00DA3E8E" w:rsidTr="00936643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DA3E8E" w:rsidRDefault="00A370B2" w:rsidP="008D69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DA3E8E" w:rsidRDefault="00A370B2" w:rsidP="008D69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DA3E8E" w:rsidRDefault="00A370B2" w:rsidP="008D69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DA3E8E" w:rsidRDefault="00A370B2" w:rsidP="008D69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DA3E8E" w:rsidRDefault="00A370B2" w:rsidP="008D69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A370B2" w:rsidRPr="00DA3E8E" w:rsidTr="00936643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46253C" w:rsidRDefault="00A370B2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46253C" w:rsidRDefault="00A370B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46253C" w:rsidRDefault="00A370B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B2" w:rsidRPr="0046253C" w:rsidRDefault="00A370B2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6" w:type="dxa"/>
            <w:noWrap/>
            <w:hideMark/>
          </w:tcPr>
          <w:p w:rsidR="00A370B2" w:rsidRPr="00DA3E8E" w:rsidRDefault="00A370B2" w:rsidP="008D6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</w:tbl>
    <w:p w:rsidR="00B75CE1" w:rsidRDefault="00B75CE1" w:rsidP="00065FA3">
      <w:pPr>
        <w:jc w:val="both"/>
        <w:rPr>
          <w:b/>
          <w:color w:val="000000" w:themeColor="text1"/>
          <w:sz w:val="24"/>
          <w:szCs w:val="24"/>
        </w:rPr>
      </w:pPr>
    </w:p>
    <w:p w:rsidR="00936643" w:rsidRDefault="00936643" w:rsidP="00065FA3">
      <w:pPr>
        <w:jc w:val="both"/>
        <w:rPr>
          <w:b/>
          <w:color w:val="000000" w:themeColor="text1"/>
          <w:sz w:val="24"/>
          <w:szCs w:val="24"/>
        </w:rPr>
      </w:pPr>
    </w:p>
    <w:p w:rsidR="00936643" w:rsidRDefault="00936643" w:rsidP="00065FA3">
      <w:pPr>
        <w:jc w:val="both"/>
        <w:rPr>
          <w:b/>
          <w:color w:val="000000" w:themeColor="text1"/>
          <w:sz w:val="24"/>
          <w:szCs w:val="24"/>
        </w:rPr>
      </w:pPr>
    </w:p>
    <w:p w:rsidR="00936643" w:rsidRPr="0046253C" w:rsidRDefault="00936643" w:rsidP="00065FA3">
      <w:pPr>
        <w:jc w:val="both"/>
        <w:rPr>
          <w:b/>
          <w:color w:val="000000" w:themeColor="text1"/>
          <w:sz w:val="24"/>
          <w:szCs w:val="24"/>
        </w:rPr>
      </w:pPr>
    </w:p>
    <w:p w:rsidR="001F1CB4" w:rsidRPr="0046253C" w:rsidRDefault="001C5F81" w:rsidP="00065FA3">
      <w:pPr>
        <w:jc w:val="both"/>
        <w:rPr>
          <w:b/>
          <w:color w:val="000000" w:themeColor="text1"/>
          <w:sz w:val="24"/>
          <w:szCs w:val="24"/>
        </w:rPr>
      </w:pPr>
      <w:r w:rsidRPr="0046253C">
        <w:rPr>
          <w:b/>
          <w:color w:val="000000" w:themeColor="text1"/>
          <w:sz w:val="24"/>
          <w:szCs w:val="24"/>
        </w:rPr>
        <w:t>3.ANALIZA NAPLATE BORAVIŠNE P</w:t>
      </w:r>
      <w:r w:rsidR="001F1CB4" w:rsidRPr="0046253C">
        <w:rPr>
          <w:b/>
          <w:color w:val="000000" w:themeColor="text1"/>
          <w:sz w:val="24"/>
          <w:szCs w:val="24"/>
        </w:rPr>
        <w:t>RISTOJBE</w:t>
      </w:r>
    </w:p>
    <w:tbl>
      <w:tblPr>
        <w:tblW w:w="30191" w:type="dxa"/>
        <w:tblInd w:w="-601" w:type="dxa"/>
        <w:tblLook w:val="04A0"/>
      </w:tblPr>
      <w:tblGrid>
        <w:gridCol w:w="601"/>
        <w:gridCol w:w="1004"/>
        <w:gridCol w:w="335"/>
        <w:gridCol w:w="16859"/>
        <w:gridCol w:w="93"/>
        <w:gridCol w:w="1124"/>
        <w:gridCol w:w="93"/>
        <w:gridCol w:w="1124"/>
        <w:gridCol w:w="93"/>
        <w:gridCol w:w="1406"/>
        <w:gridCol w:w="93"/>
        <w:gridCol w:w="1391"/>
        <w:gridCol w:w="93"/>
        <w:gridCol w:w="1231"/>
        <w:gridCol w:w="93"/>
        <w:gridCol w:w="1499"/>
        <w:gridCol w:w="93"/>
        <w:gridCol w:w="1471"/>
        <w:gridCol w:w="93"/>
        <w:gridCol w:w="1309"/>
        <w:gridCol w:w="93"/>
      </w:tblGrid>
      <w:tr w:rsidR="000C5397" w:rsidRPr="00DA3E8E" w:rsidTr="00691567">
        <w:trPr>
          <w:gridAfter w:val="18"/>
          <w:wAfter w:w="28251" w:type="dxa"/>
          <w:trHeight w:val="42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397" w:rsidRPr="00DA3E8E" w:rsidRDefault="000C539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397" w:rsidRPr="00DA3E8E" w:rsidRDefault="000C539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C5397" w:rsidRPr="00DA3E8E" w:rsidTr="00691567">
        <w:trPr>
          <w:gridAfter w:val="18"/>
          <w:wAfter w:w="28251" w:type="dxa"/>
          <w:trHeight w:val="8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97" w:rsidRPr="00DA3E8E" w:rsidRDefault="000C5397" w:rsidP="001E321C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397" w:rsidRPr="00DA3E8E" w:rsidRDefault="000C539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C5397" w:rsidRPr="00DA3E8E" w:rsidTr="00691567">
        <w:trPr>
          <w:trHeight w:val="270"/>
        </w:trPr>
        <w:tc>
          <w:tcPr>
            <w:tcW w:w="1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  <w:u w:val="single"/>
              </w:rPr>
              <w:t>Zbirno izvješće o naplati boravišne pristojbe za razdoblje 01.01.-31.12.2013</w:t>
            </w:r>
          </w:p>
          <w:p w:rsidR="00C17984" w:rsidRPr="001F1921" w:rsidRDefault="00C17984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tbl>
            <w:tblPr>
              <w:tblW w:w="17703" w:type="dxa"/>
              <w:tblInd w:w="279" w:type="dxa"/>
              <w:tblLook w:val="04A0"/>
            </w:tblPr>
            <w:tblGrid>
              <w:gridCol w:w="1759"/>
              <w:gridCol w:w="661"/>
              <w:gridCol w:w="646"/>
              <w:gridCol w:w="668"/>
              <w:gridCol w:w="617"/>
              <w:gridCol w:w="678"/>
              <w:gridCol w:w="793"/>
              <w:gridCol w:w="223"/>
              <w:gridCol w:w="695"/>
              <w:gridCol w:w="1013"/>
            </w:tblGrid>
            <w:tr w:rsidR="005756DE" w:rsidRPr="001F1921" w:rsidTr="00D14ADE">
              <w:trPr>
                <w:trHeight w:val="431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  <w:p w:rsidR="00691567" w:rsidRPr="001F1921" w:rsidRDefault="0069156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397" w:rsidRPr="001F1921" w:rsidRDefault="000C5397" w:rsidP="00D14AD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horzAnchor="page" w:tblpX="1" w:tblpY="675"/>
              <w:tblOverlap w:val="never"/>
              <w:tblW w:w="0" w:type="auto"/>
              <w:tblLook w:val="04A0"/>
            </w:tblPr>
            <w:tblGrid>
              <w:gridCol w:w="1894"/>
              <w:gridCol w:w="881"/>
              <w:gridCol w:w="995"/>
              <w:gridCol w:w="1063"/>
              <w:gridCol w:w="1039"/>
              <w:gridCol w:w="859"/>
              <w:gridCol w:w="859"/>
              <w:gridCol w:w="859"/>
              <w:gridCol w:w="1122"/>
              <w:gridCol w:w="991"/>
            </w:tblGrid>
            <w:tr w:rsidR="008B1E0A" w:rsidRPr="001F1921" w:rsidTr="004C3EAE">
              <w:trPr>
                <w:trHeight w:val="834"/>
              </w:trPr>
              <w:tc>
                <w:tcPr>
                  <w:tcW w:w="1894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TZO STON</w:t>
                  </w:r>
                </w:p>
              </w:tc>
              <w:tc>
                <w:tcPr>
                  <w:tcW w:w="826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Ostvareni broj noćenja u 2013</w:t>
                  </w:r>
                </w:p>
              </w:tc>
              <w:tc>
                <w:tcPr>
                  <w:tcW w:w="995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Ukupan iznos obveze B.u 2013</w:t>
                  </w:r>
                </w:p>
              </w:tc>
              <w:tc>
                <w:tcPr>
                  <w:tcW w:w="1063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Uplaćeni iznos B.P za 2013</w:t>
                  </w:r>
                </w:p>
              </w:tc>
              <w:tc>
                <w:tcPr>
                  <w:tcW w:w="1039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Neuplaćeni iznos B.P za 2013</w:t>
                  </w:r>
                </w:p>
              </w:tc>
              <w:tc>
                <w:tcPr>
                  <w:tcW w:w="821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Dug po B.P iz razdoblja prije 2013</w:t>
                  </w:r>
                </w:p>
              </w:tc>
              <w:tc>
                <w:tcPr>
                  <w:tcW w:w="821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Uplaćeni dug po B.P. iz razdoblja prije 2013</w:t>
                  </w:r>
                </w:p>
              </w:tc>
              <w:tc>
                <w:tcPr>
                  <w:tcW w:w="799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Ostatak duga po B.P iz razdoblja prije 2013</w:t>
                  </w:r>
                </w:p>
              </w:tc>
              <w:tc>
                <w:tcPr>
                  <w:tcW w:w="1122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Sveukupna uplaćena B.P do 31.12.2013</w:t>
                  </w:r>
                </w:p>
              </w:tc>
              <w:tc>
                <w:tcPr>
                  <w:tcW w:w="953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Ukupan dug po B.P na dan 31.12.2013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VILA KORUNA</w:t>
                  </w:r>
                </w:p>
                <w:p w:rsidR="00691567" w:rsidRPr="001F1921" w:rsidRDefault="0069156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6.418,55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6.418,55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1.015,50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1.015,50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7.434,05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HOTEL OSTREA</w:t>
                  </w:r>
                </w:p>
                <w:p w:rsidR="00936643" w:rsidRPr="001F1921" w:rsidRDefault="00936643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2.345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15.361,50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15.361,50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15.273,50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D43662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MALI KAMPOVI</w:t>
                  </w:r>
                </w:p>
                <w:p w:rsidR="00936643" w:rsidRPr="001F1921" w:rsidRDefault="00936643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11.451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15.390,00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15.390,00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15.390,00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D43662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VIKENDAŠI I PRIJATELJI</w:t>
                  </w:r>
                </w:p>
                <w:p w:rsidR="00936643" w:rsidRPr="001F1921" w:rsidRDefault="00936643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25.249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77.909,00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77.909,00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77.909,00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B437BC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425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PRIVATNI IZNAJMLJIVAČI PAUŠALCI</w:t>
                  </w: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54.382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261.863,00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261.013,00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8.405,00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8.405,00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269.418,00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B437BC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850</w:t>
                  </w:r>
                </w:p>
              </w:tc>
            </w:tr>
            <w:tr w:rsidR="008B1E0A" w:rsidRPr="001F1921" w:rsidTr="004C3EAE">
              <w:trPr>
                <w:trHeight w:val="173"/>
              </w:trPr>
              <w:tc>
                <w:tcPr>
                  <w:tcW w:w="1894" w:type="dxa"/>
                </w:tcPr>
                <w:p w:rsidR="000C5397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AUTOKAMP PO NOĆ.</w:t>
                  </w:r>
                </w:p>
                <w:p w:rsidR="00936643" w:rsidRPr="001F1921" w:rsidRDefault="00936643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34.875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192.659,25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192.659,25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192.659,25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936643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B1E0A" w:rsidRPr="001F1921" w:rsidTr="004C3EAE">
              <w:trPr>
                <w:trHeight w:val="273"/>
              </w:trPr>
              <w:tc>
                <w:tcPr>
                  <w:tcW w:w="1894" w:type="dxa"/>
                </w:tcPr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PRIV.IZNAJMLJ.</w:t>
                  </w:r>
                </w:p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I GOSP.SUBJEKTI</w:t>
                  </w:r>
                </w:p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8.392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40.866,84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40.866,84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0C5397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40.866,84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D43662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B1E0A" w:rsidRPr="001F1921" w:rsidTr="004C3EAE">
              <w:trPr>
                <w:trHeight w:val="202"/>
              </w:trPr>
              <w:tc>
                <w:tcPr>
                  <w:tcW w:w="1894" w:type="dxa"/>
                </w:tcPr>
                <w:p w:rsidR="000C5397" w:rsidRPr="001F1921" w:rsidRDefault="006E3BE1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UKUPNO</w:t>
                  </w:r>
                </w:p>
                <w:p w:rsidR="000C5397" w:rsidRPr="001F1921" w:rsidRDefault="000C5397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137687</w:t>
                  </w:r>
                </w:p>
              </w:tc>
              <w:tc>
                <w:tcPr>
                  <w:tcW w:w="995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610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.</w:t>
                  </w: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468,14</w:t>
                  </w:r>
                </w:p>
              </w:tc>
              <w:tc>
                <w:tcPr>
                  <w:tcW w:w="1063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609618,14</w:t>
                  </w:r>
                </w:p>
              </w:tc>
              <w:tc>
                <w:tcPr>
                  <w:tcW w:w="1039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850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9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.</w:t>
                  </w: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420,50</w:t>
                  </w:r>
                </w:p>
              </w:tc>
              <w:tc>
                <w:tcPr>
                  <w:tcW w:w="821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425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99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425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22" w:type="dxa"/>
                  <w:vAlign w:val="center"/>
                </w:tcPr>
                <w:p w:rsidR="000C5397" w:rsidRPr="001F1921" w:rsidRDefault="008B1E0A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619</w:t>
                  </w:r>
                  <w:r w:rsidR="00936643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.</w:t>
                  </w:r>
                  <w:r w:rsidRPr="001F1921"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038,64</w:t>
                  </w:r>
                </w:p>
              </w:tc>
              <w:tc>
                <w:tcPr>
                  <w:tcW w:w="953" w:type="dxa"/>
                  <w:vAlign w:val="center"/>
                </w:tcPr>
                <w:p w:rsidR="000C5397" w:rsidRPr="001F1921" w:rsidRDefault="00936643" w:rsidP="00F13CDA">
                  <w:pPr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="Arial"/>
                      <w:sz w:val="16"/>
                      <w:szCs w:val="16"/>
                    </w:rPr>
                    <w:t>1.275,00</w:t>
                  </w:r>
                </w:p>
              </w:tc>
            </w:tr>
          </w:tbl>
          <w:p w:rsidR="000C5397" w:rsidRPr="001F1921" w:rsidRDefault="000C5397" w:rsidP="007B251D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B437BC" w:rsidRPr="001F1921" w:rsidRDefault="00B437BC" w:rsidP="007B251D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B437BC" w:rsidRPr="001F1921" w:rsidRDefault="00B437BC" w:rsidP="007B251D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B437BC" w:rsidRPr="001F1921" w:rsidRDefault="00B437BC" w:rsidP="007B251D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B437BC" w:rsidRPr="001F1921" w:rsidRDefault="00B437BC" w:rsidP="007B251D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1D2402" w:rsidRDefault="001D2402" w:rsidP="001E321C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  <w:p w:rsidR="00533268" w:rsidRDefault="00533268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  <w:p w:rsidR="000C5397" w:rsidRPr="00AE0D0C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AE0D0C">
              <w:rPr>
                <w:rFonts w:asciiTheme="majorHAnsi" w:hAnsiTheme="majorHAnsi"/>
                <w:b/>
                <w:color w:val="000000" w:themeColor="text1"/>
                <w:u w:val="single"/>
              </w:rPr>
              <w:lastRenderedPageBreak/>
              <w:t>4.ANALIZA TURISTIČKOG PROMETA</w:t>
            </w:r>
          </w:p>
          <w:p w:rsidR="000C5397" w:rsidRPr="001F1921" w:rsidRDefault="000C5397" w:rsidP="00FF020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U slijedećim tablicama napravljena je analiza turističkog prometa za 2012 i 2013 prema emitivnim</w:t>
            </w:r>
          </w:p>
          <w:p w:rsidR="000C5397" w:rsidRPr="00373A2C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 zemljama i receptivnim mjestima na području općine Ston.</w:t>
            </w:r>
          </w:p>
          <w:p w:rsidR="000C5397" w:rsidRPr="001F1921" w:rsidRDefault="000C5397" w:rsidP="00FF020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Top zemlje po dolascima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40"/>
              <w:gridCol w:w="966"/>
              <w:gridCol w:w="1007"/>
              <w:gridCol w:w="966"/>
              <w:gridCol w:w="1007"/>
              <w:gridCol w:w="982"/>
              <w:gridCol w:w="986"/>
            </w:tblGrid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Zemlje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Dolasci 2012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Noćenja 2012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Dolasci 2013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Noćenja 2013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Index 13/12</w:t>
                  </w:r>
                </w:p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noćenja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Prosjek boravka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Češka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3461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25469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3650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28209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111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7.7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Njemačka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3513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15864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4079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17713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112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4.3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BiH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1781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13770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2228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15708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114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7.1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Poljska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1821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11386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2148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13983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123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6.5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Italija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2304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 xml:space="preserve"> 6932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2353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7116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103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3.0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Francuska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2562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 xml:space="preserve"> 6293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2927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6832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109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2.3</w:t>
                  </w:r>
                </w:p>
              </w:tc>
            </w:tr>
            <w:tr w:rsidR="00477C16" w:rsidRPr="001F1921" w:rsidTr="007975E2">
              <w:tc>
                <w:tcPr>
                  <w:tcW w:w="1340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Austrija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1053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 xml:space="preserve">  4462</w:t>
                  </w:r>
                </w:p>
              </w:tc>
              <w:tc>
                <w:tcPr>
                  <w:tcW w:w="966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1114</w:t>
                  </w:r>
                </w:p>
              </w:tc>
              <w:tc>
                <w:tcPr>
                  <w:tcW w:w="1007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4824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108</w:t>
                  </w:r>
                </w:p>
              </w:tc>
              <w:tc>
                <w:tcPr>
                  <w:tcW w:w="982" w:type="dxa"/>
                </w:tcPr>
                <w:p w:rsidR="00477C16" w:rsidRPr="001F1921" w:rsidRDefault="00477C16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4.3</w:t>
                  </w:r>
                </w:p>
              </w:tc>
            </w:tr>
            <w:tr w:rsidR="007975E2" w:rsidRPr="001F1921" w:rsidTr="007975E2">
              <w:tc>
                <w:tcPr>
                  <w:tcW w:w="1340" w:type="dxa"/>
                </w:tcPr>
                <w:p w:rsidR="007975E2" w:rsidRPr="001F1921" w:rsidRDefault="007975E2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Ukupno sve zemlje</w:t>
                  </w:r>
                </w:p>
              </w:tc>
              <w:tc>
                <w:tcPr>
                  <w:tcW w:w="966" w:type="dxa"/>
                </w:tcPr>
                <w:p w:rsidR="007975E2" w:rsidRPr="001F1921" w:rsidRDefault="007975E2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24749</w:t>
                  </w:r>
                </w:p>
              </w:tc>
              <w:tc>
                <w:tcPr>
                  <w:tcW w:w="1007" w:type="dxa"/>
                </w:tcPr>
                <w:p w:rsidR="007975E2" w:rsidRPr="001F1921" w:rsidRDefault="007975E2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125838</w:t>
                  </w:r>
                </w:p>
              </w:tc>
              <w:tc>
                <w:tcPr>
                  <w:tcW w:w="966" w:type="dxa"/>
                </w:tcPr>
                <w:p w:rsidR="007975E2" w:rsidRPr="001F1921" w:rsidRDefault="007975E2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27499</w:t>
                  </w:r>
                </w:p>
              </w:tc>
              <w:tc>
                <w:tcPr>
                  <w:tcW w:w="1007" w:type="dxa"/>
                </w:tcPr>
                <w:p w:rsidR="007975E2" w:rsidRPr="001F1921" w:rsidRDefault="007975E2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137687</w:t>
                  </w:r>
                </w:p>
              </w:tc>
              <w:tc>
                <w:tcPr>
                  <w:tcW w:w="982" w:type="dxa"/>
                </w:tcPr>
                <w:p w:rsidR="007975E2" w:rsidRPr="001F1921" w:rsidRDefault="007975E2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109</w:t>
                  </w:r>
                </w:p>
              </w:tc>
              <w:tc>
                <w:tcPr>
                  <w:tcW w:w="982" w:type="dxa"/>
                </w:tcPr>
                <w:p w:rsidR="007975E2" w:rsidRPr="001F1921" w:rsidRDefault="007975E2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1F1921">
                    <w:rPr>
                      <w:rFonts w:asciiTheme="majorHAnsi" w:hAnsiTheme="majorHAnsi"/>
                      <w:color w:val="000000" w:themeColor="text1"/>
                    </w:rPr>
                    <w:t>5.0</w:t>
                  </w:r>
                </w:p>
              </w:tc>
            </w:tr>
            <w:tr w:rsidR="00A207EB" w:rsidRPr="001F1921" w:rsidTr="007975E2">
              <w:tc>
                <w:tcPr>
                  <w:tcW w:w="1340" w:type="dxa"/>
                </w:tcPr>
                <w:p w:rsidR="00A207EB" w:rsidRPr="001F1921" w:rsidRDefault="00A207EB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966" w:type="dxa"/>
                </w:tcPr>
                <w:p w:rsidR="00A207EB" w:rsidRPr="001F1921" w:rsidRDefault="00A207EB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1007" w:type="dxa"/>
                </w:tcPr>
                <w:p w:rsidR="00A207EB" w:rsidRPr="001F1921" w:rsidRDefault="00A207EB" w:rsidP="00D14ADE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966" w:type="dxa"/>
                </w:tcPr>
                <w:p w:rsidR="00A207EB" w:rsidRPr="001F1921" w:rsidRDefault="00A207EB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1007" w:type="dxa"/>
                </w:tcPr>
                <w:p w:rsidR="00A207EB" w:rsidRPr="001F1921" w:rsidRDefault="00A207EB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982" w:type="dxa"/>
                </w:tcPr>
                <w:p w:rsidR="00A207EB" w:rsidRPr="001F1921" w:rsidRDefault="00A207EB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982" w:type="dxa"/>
                </w:tcPr>
                <w:p w:rsidR="00A207EB" w:rsidRPr="001F1921" w:rsidRDefault="00A207EB" w:rsidP="00CF5C95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tbl>
            <w:tblPr>
              <w:tblW w:w="8685" w:type="dxa"/>
              <w:tblInd w:w="93" w:type="dxa"/>
              <w:tblLook w:val="04A0"/>
            </w:tblPr>
            <w:tblGrid>
              <w:gridCol w:w="1959"/>
              <w:gridCol w:w="1083"/>
              <w:gridCol w:w="1157"/>
              <w:gridCol w:w="1083"/>
              <w:gridCol w:w="1162"/>
              <w:gridCol w:w="1083"/>
              <w:gridCol w:w="1158"/>
            </w:tblGrid>
            <w:tr w:rsidR="000C5397" w:rsidRPr="001F1921" w:rsidTr="00373A2C">
              <w:trPr>
                <w:trHeight w:val="413"/>
              </w:trPr>
              <w:tc>
                <w:tcPr>
                  <w:tcW w:w="86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C17984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C5397" w:rsidRPr="001F1921" w:rsidTr="00373A2C">
              <w:trPr>
                <w:trHeight w:val="276"/>
              </w:trPr>
              <w:tc>
                <w:tcPr>
                  <w:tcW w:w="86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Default="000C5397" w:rsidP="00576A3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  <w:p w:rsidR="005756DE" w:rsidRDefault="005756DE" w:rsidP="00576A3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  <w:p w:rsidR="005756DE" w:rsidRDefault="005756DE" w:rsidP="00576A3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  <w:p w:rsidR="005756DE" w:rsidRPr="001F1921" w:rsidRDefault="005756DE" w:rsidP="00576A3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C5397" w:rsidRPr="001F1921" w:rsidTr="00373A2C">
              <w:trPr>
                <w:trHeight w:val="276"/>
              </w:trPr>
              <w:tc>
                <w:tcPr>
                  <w:tcW w:w="86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373A2C" w:rsidRDefault="00A04988" w:rsidP="00373A2C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D</w:t>
                  </w:r>
                  <w:r w:rsidR="000C5397" w:rsidRPr="001F1921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olasci i noćenja u 2013. po mjestima</w:t>
                  </w:r>
                  <w:r w:rsidR="00373A2C" w:rsidRPr="00205E16">
                    <w:rPr>
                      <w:rFonts w:asciiTheme="majorHAnsi" w:hAnsiTheme="majorHAnsi"/>
                      <w:color w:val="000000" w:themeColor="text1"/>
                    </w:rPr>
                    <w:t xml:space="preserve"> Iz navedene tabele vidljivo je da  najveći broj noćenja ostvaren u mjestu Ston (44.952),zatim u  Žuljani (40.470) ,Putnikovićima ((20.578),a potom sljede mjesta  Mali Ston,Broce,Hodilje,Brijesta...</w:t>
                  </w:r>
                </w:p>
              </w:tc>
            </w:tr>
            <w:tr w:rsidR="000C5397" w:rsidRPr="001F1921" w:rsidTr="00373A2C">
              <w:trPr>
                <w:trHeight w:val="41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373A2C">
              <w:trPr>
                <w:trHeight w:val="95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C5397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726" w:type="dxa"/>
                  <w:gridSpan w:val="6"/>
                  <w:tcBorders>
                    <w:top w:val="single" w:sz="12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01.01.2013 - 31.12.2013</w:t>
                  </w:r>
                </w:p>
              </w:tc>
            </w:tr>
            <w:tr w:rsidR="000C5397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DOMAĆI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STRANI</w:t>
                  </w:r>
                </w:p>
              </w:tc>
              <w:tc>
                <w:tcPr>
                  <w:tcW w:w="2241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UKUPNO</w:t>
                  </w:r>
                </w:p>
              </w:tc>
            </w:tr>
            <w:tr w:rsidR="000C5397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 xml:space="preserve"> NASELJE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Dolasci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Noćenja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Dolasci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Noćenja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Dolasci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C5397" w:rsidRPr="001F1921" w:rsidRDefault="000C5397" w:rsidP="00D46DB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Noćenja</w:t>
                  </w:r>
                </w:p>
              </w:tc>
            </w:tr>
            <w:tr w:rsidR="00AE0D0C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ŽULJANA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342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3.304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4.989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37.166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5.331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0D0C" w:rsidRPr="001F1921" w:rsidRDefault="00AE0D0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40.470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MALI STON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855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1456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2841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AE0D0C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 xml:space="preserve">    7171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3366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8.627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HODILJE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840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582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4.994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649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5.834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LUKA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185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1.301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202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1.451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DUBA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327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174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1.740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181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2.067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BROCE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1.476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525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5.427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586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6.903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STON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193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2A51C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3089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</w:t>
                  </w: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3090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36.751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</w:t>
                  </w: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7309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44.952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BOLJENOVIĆI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50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PUTNIKOVIĆI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64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570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2.336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20.008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2.400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20.578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BRIJESTA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1.076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5.472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1.091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5.684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KOBAŠ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408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408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METOHIJA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327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402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ZAMASLINA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77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184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261</w:t>
                  </w:r>
                </w:p>
              </w:tc>
            </w:tr>
            <w:tr w:rsidR="00205E16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UKUPNO</w:t>
                  </w:r>
                </w:p>
              </w:tc>
              <w:tc>
                <w:tcPr>
                  <w:tcW w:w="108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1.584</w:t>
                  </w:r>
                </w:p>
              </w:tc>
              <w:tc>
                <w:tcPr>
                  <w:tcW w:w="1157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11.577</w:t>
                  </w:r>
                </w:p>
              </w:tc>
              <w:tc>
                <w:tcPr>
                  <w:tcW w:w="1083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25.915</w:t>
                  </w:r>
                </w:p>
              </w:tc>
              <w:tc>
                <w:tcPr>
                  <w:tcW w:w="1162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126.110</w:t>
                  </w:r>
                </w:p>
              </w:tc>
              <w:tc>
                <w:tcPr>
                  <w:tcW w:w="1083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27.499</w:t>
                  </w:r>
                </w:p>
              </w:tc>
              <w:tc>
                <w:tcPr>
                  <w:tcW w:w="1158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5E16" w:rsidRPr="001F1921" w:rsidRDefault="00205E16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  <w:r w:rsidRPr="001F1921"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  <w:t>137.687</w:t>
                  </w:r>
                </w:p>
              </w:tc>
            </w:tr>
            <w:tr w:rsidR="00373A2C" w:rsidRPr="001F1921" w:rsidTr="00373A2C">
              <w:trPr>
                <w:trHeight w:val="249"/>
              </w:trPr>
              <w:tc>
                <w:tcPr>
                  <w:tcW w:w="195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</w:tr>
            <w:tr w:rsidR="00373A2C" w:rsidRPr="001F1921" w:rsidTr="00373A2C">
              <w:trPr>
                <w:trHeight w:val="249"/>
              </w:trPr>
              <w:tc>
                <w:tcPr>
                  <w:tcW w:w="1959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</w:tr>
            <w:tr w:rsidR="00373A2C" w:rsidRPr="001F1921" w:rsidTr="00373A2C">
              <w:trPr>
                <w:trHeight w:val="249"/>
              </w:trPr>
              <w:tc>
                <w:tcPr>
                  <w:tcW w:w="1959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</w:tr>
            <w:tr w:rsidR="00373A2C" w:rsidRPr="001F1921" w:rsidTr="00373A2C">
              <w:trPr>
                <w:trHeight w:val="249"/>
              </w:trPr>
              <w:tc>
                <w:tcPr>
                  <w:tcW w:w="1959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  <w:hideMark/>
                </w:tcPr>
                <w:p w:rsidR="00373A2C" w:rsidRPr="001F1921" w:rsidRDefault="00373A2C" w:rsidP="00FC094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Cs/>
                      <w:color w:val="000000" w:themeColor="text1"/>
                    </w:rPr>
                  </w:pPr>
                </w:p>
              </w:tc>
            </w:tr>
          </w:tbl>
          <w:p w:rsidR="00092ABD" w:rsidRDefault="00092ABD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0C5397" w:rsidRPr="00AE0D0C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AE0D0C">
              <w:rPr>
                <w:rFonts w:asciiTheme="majorHAnsi" w:hAnsiTheme="majorHAnsi"/>
                <w:b/>
                <w:color w:val="000000" w:themeColor="text1"/>
                <w:u w:val="single"/>
              </w:rPr>
              <w:t>5.ANALIZA RADA TIJELA TZO STON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5.1 Turističko vijeće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Tijekom 2013.godine Turističko vijeće održalo je 5 sjednica.Članovi turističkog vijeća</w:t>
            </w:r>
            <w:r w:rsidR="00A04988">
              <w:rPr>
                <w:rFonts w:asciiTheme="majorHAnsi" w:hAnsiTheme="majorHAnsi"/>
                <w:color w:val="000000" w:themeColor="text1"/>
              </w:rPr>
              <w:t xml:space="preserve"> bili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su: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Vedran Antunica predsjednik,Sveto</w:t>
            </w:r>
            <w:r w:rsidR="00A207EB" w:rsidRPr="001F1921">
              <w:rPr>
                <w:rFonts w:asciiTheme="majorHAnsi" w:hAnsiTheme="majorHAnsi"/>
                <w:color w:val="000000" w:themeColor="text1"/>
              </w:rPr>
              <w:t xml:space="preserve"> Pejić,Slobodan Vukotić,Franica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Mrčavić,Frano Vlašić,Željko Kralj,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Zdravko Čakelić,Pavlimir Jeić.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Sukladno zakonu napravljeno je posebno izvješće o radu Turističkog vijeća.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5.2.Skupština</w:t>
            </w:r>
          </w:p>
          <w:p w:rsidR="0083519A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Tijekom 2013.godine održane su dvije redovne sjednice,u veljači i prosincu.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5.3.Nadzorniodbor</w:t>
            </w:r>
            <w:r w:rsidRPr="001F1921">
              <w:rPr>
                <w:rFonts w:asciiTheme="majorHAnsi" w:hAnsiTheme="majorHAnsi"/>
                <w:b/>
                <w:color w:val="000000" w:themeColor="text1"/>
              </w:rPr>
              <w:br/>
            </w:r>
            <w:r w:rsidRPr="001F1921">
              <w:rPr>
                <w:rFonts w:asciiTheme="majorHAnsi" w:hAnsiTheme="majorHAnsi"/>
                <w:color w:val="000000" w:themeColor="text1"/>
              </w:rPr>
              <w:t>Nadzorni odbor je održao dvije sjednice tijekom 2013.godine i to u veljači i prosincu.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 xml:space="preserve">5.4.Izborna Skupština 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3.12.2013.god.održana je Izborna Skupština na kojom su izabrani novi članovi Skupštine,Vijeća,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Nadzornog odbora ,potpisnici virmana kao i predstavnik za Skupštinu TZ DNŽ.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  <w:b/>
              </w:rPr>
            </w:pPr>
            <w:r w:rsidRPr="001F1921">
              <w:rPr>
                <w:rFonts w:asciiTheme="majorHAnsi" w:hAnsiTheme="majorHAnsi"/>
                <w:b/>
              </w:rPr>
              <w:t>Članovi Skupštine 2013/2017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1.Ivica Vukotić ,privatni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2.Franica Mrčavić,privatni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Žanka Lopin ,privatni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Nikola Čaveliš,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Mladenka Rabušić,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Zdravko Čakelić,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Drago Glavor,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Ivona Tajić, predstavnica  Jarbol d.o.o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Josip Ledinić,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Ane Padovan,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Jozo Dalmatin, privatni iznamljivač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Nedjeljko Perić ,predstavnik Kamp Vrela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Nevenka Franušić ,prestavnica Tommy d.o.o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Jozo Barović  ,predstavnik  Barović Trade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Sveto Pejić ,predstavnik Villa Koruna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Željko Kralj ,predstavnik Hotel Ostrea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Ivica Marić ,predstavnik Ina d.d.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Ljiljana Koštro ,predstavnica Jadrolinije</w:t>
            </w:r>
          </w:p>
          <w:p w:rsidR="00A207EB" w:rsidRPr="001F1921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Zrinka Prkačin ,predstavnica  Konzum</w:t>
            </w:r>
          </w:p>
          <w:p w:rsidR="00A207EB" w:rsidRDefault="00A207EB" w:rsidP="00A207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Roko-Zlata Essert ,predstavnica Ljekarne Essert- Roko</w:t>
            </w:r>
          </w:p>
          <w:p w:rsidR="001F1921" w:rsidRPr="001F1921" w:rsidRDefault="001F1921" w:rsidP="001F1921">
            <w:pPr>
              <w:rPr>
                <w:rFonts w:asciiTheme="majorHAnsi" w:hAnsiTheme="majorHAnsi"/>
              </w:rPr>
            </w:pPr>
          </w:p>
          <w:p w:rsidR="00A207EB" w:rsidRPr="001F1921" w:rsidRDefault="00A207EB" w:rsidP="00A207EB">
            <w:pPr>
              <w:rPr>
                <w:rFonts w:asciiTheme="majorHAnsi" w:hAnsiTheme="majorHAnsi"/>
                <w:b/>
              </w:rPr>
            </w:pPr>
            <w:r w:rsidRPr="001F1921">
              <w:rPr>
                <w:rFonts w:asciiTheme="majorHAnsi" w:hAnsiTheme="majorHAnsi"/>
                <w:b/>
              </w:rPr>
              <w:t>Članovi Vijeća  2013/2017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 xml:space="preserve">     </w:t>
            </w:r>
            <w:r w:rsidR="00052110" w:rsidRPr="001F1921">
              <w:rPr>
                <w:rFonts w:asciiTheme="majorHAnsi" w:hAnsiTheme="majorHAnsi"/>
              </w:rPr>
              <w:t xml:space="preserve">    </w:t>
            </w:r>
            <w:r w:rsidRPr="001F1921">
              <w:rPr>
                <w:rFonts w:asciiTheme="majorHAnsi" w:hAnsiTheme="majorHAnsi"/>
              </w:rPr>
              <w:t>1.Ljiljana Koštro</w:t>
            </w:r>
            <w:r w:rsidRPr="001F1921">
              <w:rPr>
                <w:rFonts w:asciiTheme="majorHAnsi" w:hAnsiTheme="majorHAnsi"/>
              </w:rPr>
              <w:br/>
              <w:t xml:space="preserve">      </w:t>
            </w:r>
            <w:r w:rsidR="00052110" w:rsidRPr="001F1921">
              <w:rPr>
                <w:rFonts w:asciiTheme="majorHAnsi" w:hAnsiTheme="majorHAnsi"/>
              </w:rPr>
              <w:t xml:space="preserve">   </w:t>
            </w:r>
            <w:r w:rsidRPr="001F1921">
              <w:rPr>
                <w:rFonts w:asciiTheme="majorHAnsi" w:hAnsiTheme="majorHAnsi"/>
              </w:rPr>
              <w:t>2.Sveto Pejić</w:t>
            </w:r>
            <w:r w:rsidRPr="001F1921">
              <w:rPr>
                <w:rFonts w:asciiTheme="majorHAnsi" w:hAnsiTheme="majorHAnsi"/>
              </w:rPr>
              <w:br/>
              <w:t xml:space="preserve">      </w:t>
            </w:r>
            <w:r w:rsidR="00052110" w:rsidRPr="001F1921">
              <w:rPr>
                <w:rFonts w:asciiTheme="majorHAnsi" w:hAnsiTheme="majorHAnsi"/>
              </w:rPr>
              <w:t xml:space="preserve">   </w:t>
            </w:r>
            <w:r w:rsidRPr="001F1921">
              <w:rPr>
                <w:rFonts w:asciiTheme="majorHAnsi" w:hAnsiTheme="majorHAnsi"/>
              </w:rPr>
              <w:t>3.Zdravko Čakelić</w:t>
            </w:r>
            <w:r w:rsidRPr="001F1921">
              <w:rPr>
                <w:rFonts w:asciiTheme="majorHAnsi" w:hAnsiTheme="majorHAnsi"/>
              </w:rPr>
              <w:br/>
              <w:t xml:space="preserve">      </w:t>
            </w:r>
            <w:r w:rsidR="00052110" w:rsidRPr="001F1921">
              <w:rPr>
                <w:rFonts w:asciiTheme="majorHAnsi" w:hAnsiTheme="majorHAnsi"/>
              </w:rPr>
              <w:t xml:space="preserve">   </w:t>
            </w:r>
            <w:r w:rsidRPr="001F1921">
              <w:rPr>
                <w:rFonts w:asciiTheme="majorHAnsi" w:hAnsiTheme="majorHAnsi"/>
              </w:rPr>
              <w:t>4.Jozo Dalmatin</w:t>
            </w:r>
            <w:r w:rsidRPr="001F1921">
              <w:rPr>
                <w:rFonts w:asciiTheme="majorHAnsi" w:hAnsiTheme="majorHAnsi"/>
              </w:rPr>
              <w:br/>
              <w:t xml:space="preserve">      </w:t>
            </w:r>
            <w:r w:rsidR="00052110" w:rsidRPr="001F1921">
              <w:rPr>
                <w:rFonts w:asciiTheme="majorHAnsi" w:hAnsiTheme="majorHAnsi"/>
              </w:rPr>
              <w:t xml:space="preserve">   </w:t>
            </w:r>
            <w:r w:rsidRPr="001F1921">
              <w:rPr>
                <w:rFonts w:asciiTheme="majorHAnsi" w:hAnsiTheme="majorHAnsi"/>
              </w:rPr>
              <w:t>5.Nedjeljko Perić</w:t>
            </w:r>
            <w:r w:rsidRPr="001F1921">
              <w:rPr>
                <w:rFonts w:asciiTheme="majorHAnsi" w:hAnsiTheme="majorHAnsi"/>
              </w:rPr>
              <w:br/>
              <w:t xml:space="preserve">     </w:t>
            </w:r>
            <w:r w:rsidR="00052110" w:rsidRPr="001F1921">
              <w:rPr>
                <w:rFonts w:asciiTheme="majorHAnsi" w:hAnsiTheme="majorHAnsi"/>
              </w:rPr>
              <w:t xml:space="preserve">  </w:t>
            </w:r>
            <w:r w:rsidRPr="001F1921">
              <w:rPr>
                <w:rFonts w:asciiTheme="majorHAnsi" w:hAnsiTheme="majorHAnsi"/>
              </w:rPr>
              <w:t xml:space="preserve"> </w:t>
            </w:r>
            <w:r w:rsidR="00052110" w:rsidRPr="001F1921">
              <w:rPr>
                <w:rFonts w:asciiTheme="majorHAnsi" w:hAnsiTheme="majorHAnsi"/>
              </w:rPr>
              <w:t xml:space="preserve"> </w:t>
            </w:r>
            <w:r w:rsidR="00F05B92">
              <w:rPr>
                <w:rFonts w:asciiTheme="majorHAnsi" w:hAnsiTheme="majorHAnsi"/>
              </w:rPr>
              <w:t>6.Josip L</w:t>
            </w:r>
            <w:r w:rsidRPr="001F1921">
              <w:rPr>
                <w:rFonts w:asciiTheme="majorHAnsi" w:hAnsiTheme="majorHAnsi"/>
              </w:rPr>
              <w:t>edinić</w:t>
            </w:r>
            <w:r w:rsidRPr="001F1921">
              <w:rPr>
                <w:rFonts w:asciiTheme="majorHAnsi" w:hAnsiTheme="majorHAnsi"/>
              </w:rPr>
              <w:br/>
              <w:t xml:space="preserve">      </w:t>
            </w:r>
            <w:r w:rsidR="00052110" w:rsidRPr="001F1921">
              <w:rPr>
                <w:rFonts w:asciiTheme="majorHAnsi" w:hAnsiTheme="majorHAnsi"/>
              </w:rPr>
              <w:t xml:space="preserve">   </w:t>
            </w:r>
            <w:r w:rsidRPr="001F1921">
              <w:rPr>
                <w:rFonts w:asciiTheme="majorHAnsi" w:hAnsiTheme="majorHAnsi"/>
              </w:rPr>
              <w:t>7.Željko Kralj</w:t>
            </w:r>
            <w:r w:rsidRPr="001F1921">
              <w:rPr>
                <w:rFonts w:asciiTheme="majorHAnsi" w:hAnsiTheme="majorHAnsi"/>
              </w:rPr>
              <w:br/>
            </w:r>
            <w:r w:rsidR="00052110" w:rsidRPr="001F1921">
              <w:rPr>
                <w:rFonts w:asciiTheme="majorHAnsi" w:hAnsiTheme="majorHAnsi"/>
              </w:rPr>
              <w:t xml:space="preserve">         </w:t>
            </w:r>
            <w:r w:rsidRPr="001F1921">
              <w:rPr>
                <w:rFonts w:asciiTheme="majorHAnsi" w:hAnsiTheme="majorHAnsi"/>
              </w:rPr>
              <w:t>8.Drago Glavor</w:t>
            </w:r>
          </w:p>
          <w:p w:rsidR="001F1921" w:rsidRPr="001F1921" w:rsidRDefault="001F1921" w:rsidP="00A207EB">
            <w:pPr>
              <w:rPr>
                <w:rFonts w:asciiTheme="majorHAnsi" w:hAnsiTheme="majorHAnsi"/>
              </w:rPr>
            </w:pPr>
          </w:p>
          <w:p w:rsidR="00A207EB" w:rsidRPr="001F1921" w:rsidRDefault="00A207EB" w:rsidP="00A207EB">
            <w:pPr>
              <w:rPr>
                <w:rFonts w:asciiTheme="majorHAnsi" w:hAnsiTheme="majorHAnsi"/>
                <w:b/>
              </w:rPr>
            </w:pPr>
            <w:r w:rsidRPr="001F1921">
              <w:rPr>
                <w:rFonts w:asciiTheme="majorHAnsi" w:hAnsiTheme="majorHAnsi"/>
                <w:b/>
              </w:rPr>
              <w:t>Članovi Nadzornog odbora  2013/2017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1.Željko Štrbinić</w:t>
            </w:r>
            <w:r w:rsidR="00052110" w:rsidRPr="001F1921">
              <w:rPr>
                <w:rFonts w:asciiTheme="majorHAnsi" w:hAnsiTheme="majorHAnsi"/>
              </w:rPr>
              <w:t xml:space="preserve">,prestavnik trgovine 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2.Frano Vlašić</w:t>
            </w:r>
            <w:r w:rsidR="00052110" w:rsidRPr="001F1921">
              <w:rPr>
                <w:rFonts w:asciiTheme="majorHAnsi" w:hAnsiTheme="majorHAnsi"/>
              </w:rPr>
              <w:t>,predstavnik vinarije</w:t>
            </w:r>
          </w:p>
          <w:p w:rsidR="00052110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 xml:space="preserve">3.Predstavnik biti će delegiran od TZ DNŽ </w:t>
            </w:r>
          </w:p>
          <w:p w:rsidR="001F1921" w:rsidRPr="001F1921" w:rsidRDefault="001F1921" w:rsidP="00A207EB">
            <w:pPr>
              <w:rPr>
                <w:rFonts w:asciiTheme="majorHAnsi" w:hAnsiTheme="majorHAnsi"/>
              </w:rPr>
            </w:pPr>
          </w:p>
          <w:p w:rsidR="00A207EB" w:rsidRPr="001F1921" w:rsidRDefault="00A207EB" w:rsidP="00A207EB">
            <w:pPr>
              <w:rPr>
                <w:rFonts w:asciiTheme="majorHAnsi" w:hAnsiTheme="majorHAnsi"/>
                <w:b/>
              </w:rPr>
            </w:pPr>
            <w:r w:rsidRPr="001F1921">
              <w:rPr>
                <w:rFonts w:asciiTheme="majorHAnsi" w:hAnsiTheme="majorHAnsi"/>
                <w:b/>
              </w:rPr>
              <w:t>Predstavnik TZO Ston za člana Skupštine TZ DNŽ</w:t>
            </w:r>
          </w:p>
          <w:p w:rsidR="00A207EB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 xml:space="preserve">1.Nedjeljko Perić </w:t>
            </w:r>
          </w:p>
          <w:p w:rsidR="001F1921" w:rsidRPr="001F1921" w:rsidRDefault="001F1921" w:rsidP="00A207EB">
            <w:pPr>
              <w:rPr>
                <w:rFonts w:asciiTheme="majorHAnsi" w:hAnsiTheme="majorHAnsi"/>
              </w:rPr>
            </w:pPr>
          </w:p>
          <w:p w:rsidR="00A207EB" w:rsidRPr="001F1921" w:rsidRDefault="00A207EB" w:rsidP="00A207EB">
            <w:pPr>
              <w:rPr>
                <w:rFonts w:asciiTheme="majorHAnsi" w:hAnsiTheme="majorHAnsi"/>
                <w:b/>
              </w:rPr>
            </w:pPr>
            <w:r w:rsidRPr="001F1921">
              <w:rPr>
                <w:rFonts w:asciiTheme="majorHAnsi" w:hAnsiTheme="majorHAnsi"/>
                <w:b/>
              </w:rPr>
              <w:t xml:space="preserve">Ovjerovatelji virmana TZO Ston 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1.Vedran Antunica</w:t>
            </w:r>
          </w:p>
          <w:p w:rsidR="00A207EB" w:rsidRPr="001F1921" w:rsidRDefault="00A207EB" w:rsidP="00A207EB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2.Fani Slade</w:t>
            </w:r>
          </w:p>
          <w:p w:rsidR="0005014E" w:rsidRDefault="00A207EB" w:rsidP="00052110">
            <w:pPr>
              <w:rPr>
                <w:rFonts w:asciiTheme="majorHAnsi" w:hAnsiTheme="majorHAnsi"/>
              </w:rPr>
            </w:pPr>
            <w:r w:rsidRPr="001F1921">
              <w:rPr>
                <w:rFonts w:asciiTheme="majorHAnsi" w:hAnsiTheme="majorHAnsi"/>
              </w:rPr>
              <w:t>3.Jozo Barović</w:t>
            </w:r>
          </w:p>
          <w:p w:rsidR="00C17984" w:rsidRPr="001F1921" w:rsidRDefault="00C17984" w:rsidP="00052110">
            <w:pPr>
              <w:rPr>
                <w:rFonts w:asciiTheme="majorHAnsi" w:hAnsiTheme="majorHAnsi"/>
              </w:rPr>
            </w:pPr>
          </w:p>
          <w:p w:rsidR="00571063" w:rsidRPr="005756DE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AE0D0C">
              <w:rPr>
                <w:rFonts w:asciiTheme="majorHAnsi" w:hAnsiTheme="majorHAnsi"/>
                <w:b/>
                <w:color w:val="000000" w:themeColor="text1"/>
                <w:u w:val="single"/>
              </w:rPr>
              <w:t>6.ANALIZA OSTVARENJA PROGRAMA RADA ZA 2013.GODINU</w:t>
            </w:r>
          </w:p>
          <w:p w:rsidR="00C17984" w:rsidRDefault="00C17984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ADMINISTRATIVNI RASHODI</w:t>
            </w:r>
          </w:p>
          <w:p w:rsidR="00C17984" w:rsidRPr="00571063" w:rsidRDefault="00C17984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571063">
              <w:rPr>
                <w:rFonts w:asciiTheme="majorHAnsi" w:hAnsiTheme="majorHAnsi"/>
                <w:color w:val="000000" w:themeColor="text1"/>
              </w:rPr>
              <w:t>Administartivni rashodi odnose se na troškove stalno zaposlena dva radnika,zaposlenike  TIC-a</w:t>
            </w:r>
          </w:p>
          <w:p w:rsidR="00C17984" w:rsidRDefault="00C17984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571063">
              <w:rPr>
                <w:rFonts w:asciiTheme="majorHAnsi" w:hAnsiTheme="majorHAnsi"/>
                <w:color w:val="000000" w:themeColor="text1"/>
              </w:rPr>
              <w:t>(Ston,Žuljana )</w:t>
            </w:r>
            <w:r w:rsidR="00571063">
              <w:rPr>
                <w:rFonts w:asciiTheme="majorHAnsi" w:hAnsiTheme="majorHAnsi"/>
                <w:color w:val="000000" w:themeColor="text1"/>
              </w:rPr>
              <w:t xml:space="preserve">zaposlenika u </w:t>
            </w:r>
            <w:r w:rsidRPr="00571063">
              <w:rPr>
                <w:rFonts w:asciiTheme="majorHAnsi" w:hAnsiTheme="majorHAnsi"/>
                <w:color w:val="000000" w:themeColor="text1"/>
              </w:rPr>
              <w:t xml:space="preserve">prijavno –odjavnom uredu u Putnikovićima </w:t>
            </w:r>
            <w:r w:rsidR="00571063">
              <w:rPr>
                <w:rFonts w:asciiTheme="majorHAnsi" w:hAnsiTheme="majorHAnsi"/>
                <w:color w:val="000000" w:themeColor="text1"/>
              </w:rPr>
              <w:t>,</w:t>
            </w:r>
            <w:r w:rsidR="00373A2C">
              <w:rPr>
                <w:rFonts w:asciiTheme="majorHAnsi" w:hAnsiTheme="majorHAnsi"/>
                <w:color w:val="000000" w:themeColor="text1"/>
              </w:rPr>
              <w:t>te zaposlenika u muzeju Gudnja,</w:t>
            </w:r>
          </w:p>
          <w:p w:rsidR="00373A2C" w:rsidRPr="00571063" w:rsidRDefault="00373A2C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 troškove ureda i TIC-eva.(</w:t>
            </w:r>
            <w:r w:rsidRPr="00373A2C">
              <w:rPr>
                <w:rFonts w:asciiTheme="majorHAnsi" w:hAnsiTheme="majorHAnsi"/>
                <w:b/>
                <w:color w:val="000000" w:themeColor="text1"/>
              </w:rPr>
              <w:t>309.784,44 kn</w:t>
            </w:r>
            <w:r>
              <w:rPr>
                <w:rFonts w:asciiTheme="majorHAnsi" w:hAnsiTheme="majorHAnsi"/>
                <w:color w:val="000000" w:themeColor="text1"/>
              </w:rPr>
              <w:t>)</w:t>
            </w:r>
          </w:p>
          <w:p w:rsidR="00C17984" w:rsidRPr="00571063" w:rsidRDefault="00C17984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571063">
              <w:rPr>
                <w:rFonts w:asciiTheme="majorHAnsi" w:hAnsiTheme="majorHAnsi"/>
                <w:color w:val="000000" w:themeColor="text1"/>
              </w:rPr>
              <w:t xml:space="preserve">Zbog nemogućnosti financiranja iz vlastitih prihoda  za sve navedene administrativne rashode </w:t>
            </w:r>
          </w:p>
          <w:p w:rsidR="00571063" w:rsidRDefault="00C17984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571063">
              <w:rPr>
                <w:rFonts w:asciiTheme="majorHAnsi" w:hAnsiTheme="majorHAnsi"/>
                <w:color w:val="000000" w:themeColor="text1"/>
              </w:rPr>
              <w:t xml:space="preserve">sufinancirani smo za </w:t>
            </w:r>
            <w:r w:rsidR="00571063" w:rsidRPr="00571063">
              <w:rPr>
                <w:rFonts w:asciiTheme="majorHAnsi" w:hAnsiTheme="majorHAnsi"/>
                <w:color w:val="000000" w:themeColor="text1"/>
              </w:rPr>
              <w:t>iznos troje zaposlenik</w:t>
            </w:r>
            <w:r w:rsidR="00571063">
              <w:rPr>
                <w:rFonts w:asciiTheme="majorHAnsi" w:hAnsiTheme="majorHAnsi"/>
                <w:color w:val="000000" w:themeColor="text1"/>
              </w:rPr>
              <w:t>a</w:t>
            </w:r>
            <w:r w:rsidR="00571063" w:rsidRPr="0057106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571063">
              <w:rPr>
                <w:rFonts w:asciiTheme="majorHAnsi" w:hAnsiTheme="majorHAnsi"/>
                <w:color w:val="000000" w:themeColor="text1"/>
              </w:rPr>
              <w:t>Projektom HZZZ-a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571063" w:rsidRPr="00373A2C">
              <w:rPr>
                <w:rFonts w:asciiTheme="majorHAnsi" w:hAnsiTheme="majorHAnsi"/>
                <w:color w:val="000000" w:themeColor="text1"/>
              </w:rPr>
              <w:t>(60.328,38 kn)</w:t>
            </w:r>
          </w:p>
          <w:p w:rsidR="00C17984" w:rsidRPr="001F1921" w:rsidRDefault="00C17984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lastRenderedPageBreak/>
              <w:t xml:space="preserve">DIZAJN VRIJEDNOSTI </w:t>
            </w:r>
          </w:p>
          <w:p w:rsidR="000C5397" w:rsidRPr="001F1921" w:rsidRDefault="000C5397" w:rsidP="00EF351C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 xml:space="preserve">Projekt Volim Hrvatsku </w:t>
            </w:r>
          </w:p>
          <w:p w:rsidR="000C5397" w:rsidRPr="001F1921" w:rsidRDefault="00DE7FAA" w:rsidP="00EF351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S</w:t>
            </w:r>
            <w:r w:rsidR="000C5397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udjelujemo već tradicionalno u akcijI HTZ - Volim Hrvatsku –Više cvijeća manje smeća te smo nastojali </w:t>
            </w:r>
          </w:p>
          <w:p w:rsidR="000C5397" w:rsidRPr="001F1921" w:rsidRDefault="000C5397" w:rsidP="00EF351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uključiti što veći broj stanovništva</w:t>
            </w:r>
            <w:r w:rsidR="00DE7FAA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,zajedno sa vrtićem i O.Š.</w:t>
            </w: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u  uređenju zelenih površina.</w:t>
            </w:r>
          </w:p>
          <w:p w:rsidR="000C5397" w:rsidRPr="001F1921" w:rsidRDefault="000C5397" w:rsidP="00EF351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Uređivali smo i održavali zelene površine dok je općina od sredstava boravišne pristojbe  </w:t>
            </w:r>
          </w:p>
          <w:p w:rsidR="001F1921" w:rsidRPr="001F1921" w:rsidRDefault="000C5397" w:rsidP="00EF351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održ</w:t>
            </w:r>
            <w:r w:rsidR="00DE7FAA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a</w:t>
            </w: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vala plaže ,javni i kemijski w</w:t>
            </w:r>
            <w:r w:rsidR="00517599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c kabina (6.311,57 kn </w:t>
            </w: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)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Manifestacije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Organizirali smo i podržali održavanje kulturnih,sportskih i zabavnih manifestacija na području 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naše općine.Održale su se slijedeće manifestacije: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Dani kamenica-Festa sv.Josipa,Festa Svetog Ivana -Žuljana,Festa Svetog Liberana,Međunarodni susret puhačkih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Orkestara Ston 2013,Festa sv.Ane u Putnikovićima,Noć vina,Ljetni maškari,Noć folklora,Dječje večer,</w:t>
            </w:r>
          </w:p>
          <w:p w:rsidR="000C5397" w:rsidRPr="001F1921" w:rsidRDefault="00DE7FAA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Klapsko večer,2.K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>azališne predstave</w:t>
            </w:r>
            <w:r w:rsidRPr="001F1921">
              <w:rPr>
                <w:rFonts w:asciiTheme="majorHAnsi" w:hAnsiTheme="majorHAnsi"/>
                <w:color w:val="000000" w:themeColor="text1"/>
              </w:rPr>
              <w:t>(Ljekarnik i Za Europu spremni)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>,Festa Velike Gospe u Ponikvama,</w:t>
            </w:r>
          </w:p>
          <w:p w:rsidR="00052110" w:rsidRPr="00C17984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Bašadura u Žuljani,Male zvijezde Stona,Kinookus Film fo</w:t>
            </w:r>
            <w:r w:rsidR="002E2E36" w:rsidRPr="001F1921">
              <w:rPr>
                <w:rFonts w:asciiTheme="majorHAnsi" w:hAnsiTheme="majorHAnsi"/>
                <w:color w:val="000000" w:themeColor="text1"/>
              </w:rPr>
              <w:t>od festival,Stonwallmarathon</w:t>
            </w:r>
            <w:r w:rsidR="002E2E36" w:rsidRPr="001F1921">
              <w:rPr>
                <w:rFonts w:asciiTheme="majorHAnsi" w:hAnsiTheme="majorHAnsi"/>
                <w:b/>
                <w:color w:val="000000" w:themeColor="text1"/>
              </w:rPr>
              <w:t>.(107.838,32</w:t>
            </w:r>
            <w:r w:rsidRPr="001F1921">
              <w:rPr>
                <w:rFonts w:asciiTheme="majorHAnsi" w:hAnsiTheme="majorHAnsi"/>
                <w:b/>
                <w:color w:val="000000" w:themeColor="text1"/>
              </w:rPr>
              <w:t xml:space="preserve"> kn)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Novi proizvod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Kandidirali smo i dobili sredstva  pri Ministarstvu turizma „Korak više“za 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projekt Izrade digitalne karte Pelješca  ,označavanje i markiranje djela  biciklističko pješačkih staza 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naše Općine .Sredstva su nam uplačena u mjesecu prosincu tako da nismo bili u mogučnosti 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projekt do kraja godine izrealizirati.</w:t>
            </w:r>
          </w:p>
          <w:p w:rsidR="000C5397" w:rsidRPr="001F1921" w:rsidRDefault="00DA62BC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Ugovor smo potpisali sa izvođačima koji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 xml:space="preserve">ma je predujam uplačen a završni rok izrade je </w:t>
            </w:r>
          </w:p>
          <w:p w:rsidR="001F1921" w:rsidRPr="00C17984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 mjesec svibanj 2014.godine</w:t>
            </w:r>
            <w:r w:rsidRPr="001F1921">
              <w:rPr>
                <w:rFonts w:asciiTheme="majorHAnsi" w:hAnsiTheme="majorHAnsi"/>
                <w:b/>
                <w:color w:val="000000" w:themeColor="text1"/>
              </w:rPr>
              <w:t>.</w:t>
            </w:r>
            <w:r w:rsidR="00DE7FAA" w:rsidRPr="001F1921">
              <w:rPr>
                <w:rFonts w:asciiTheme="majorHAnsi" w:hAnsiTheme="majorHAnsi"/>
                <w:b/>
                <w:color w:val="000000" w:themeColor="text1"/>
              </w:rPr>
              <w:t>(46.250,00 kn)</w:t>
            </w:r>
          </w:p>
          <w:p w:rsidR="00740FF4" w:rsidRPr="001F1921" w:rsidRDefault="00740FF4" w:rsidP="00740FF4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KOMUNIKACIJSKE VRIJEDNOSTI</w:t>
            </w:r>
          </w:p>
          <w:p w:rsidR="00740FF4" w:rsidRPr="001F1921" w:rsidRDefault="00E05503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-</w:t>
            </w:r>
            <w:r w:rsidR="00740FF4" w:rsidRPr="001F1921">
              <w:rPr>
                <w:rFonts w:asciiTheme="majorHAnsi" w:hAnsiTheme="majorHAnsi"/>
                <w:color w:val="000000" w:themeColor="text1"/>
              </w:rPr>
              <w:t xml:space="preserve">Redovno se održavao program za prijavu i odjavu gosta,on line prijavu gostiju te internet </w:t>
            </w:r>
          </w:p>
          <w:p w:rsidR="00740FF4" w:rsidRPr="001F1921" w:rsidRDefault="005C60E0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stranica TZO S</w:t>
            </w:r>
            <w:r w:rsidR="00740FF4" w:rsidRPr="001F1921">
              <w:rPr>
                <w:rFonts w:asciiTheme="majorHAnsi" w:hAnsiTheme="majorHAnsi"/>
                <w:color w:val="000000" w:themeColor="text1"/>
              </w:rPr>
              <w:t>ton.</w:t>
            </w:r>
          </w:p>
          <w:p w:rsidR="00740FF4" w:rsidRPr="001F1921" w:rsidRDefault="00740FF4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-Web stranica </w:t>
            </w:r>
            <w:hyperlink r:id="rId7" w:history="1">
              <w:r w:rsidRPr="001F1921">
                <w:rPr>
                  <w:rStyle w:val="Hyperlink"/>
                  <w:rFonts w:asciiTheme="majorHAnsi" w:hAnsiTheme="majorHAnsi"/>
                </w:rPr>
                <w:t>WWW.ston.hr</w:t>
              </w:r>
            </w:hyperlink>
            <w:r w:rsidRPr="001F1921">
              <w:rPr>
                <w:rFonts w:asciiTheme="majorHAnsi" w:hAnsiTheme="majorHAnsi"/>
                <w:color w:val="000000" w:themeColor="text1"/>
              </w:rPr>
              <w:t xml:space="preserve"> je u potpunosti prevedena i lektorirana na Njemački i Češki jezik</w:t>
            </w:r>
          </w:p>
          <w:p w:rsidR="00740FF4" w:rsidRPr="001F1921" w:rsidRDefault="00740FF4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-Web stranica </w:t>
            </w:r>
            <w:hyperlink r:id="rId8" w:history="1">
              <w:r w:rsidRPr="001F1921">
                <w:rPr>
                  <w:rStyle w:val="Hyperlink"/>
                  <w:rFonts w:asciiTheme="majorHAnsi" w:hAnsiTheme="majorHAnsi"/>
                </w:rPr>
                <w:t>www.visitpeljesac</w:t>
              </w:r>
            </w:hyperlink>
            <w:r w:rsidRPr="001F1921">
              <w:rPr>
                <w:rFonts w:asciiTheme="majorHAnsi" w:hAnsiTheme="majorHAnsi"/>
                <w:color w:val="000000" w:themeColor="text1"/>
              </w:rPr>
              <w:t xml:space="preserve"> je u potunosti redizajnirana krajem godine te prevedena na 6 jezika </w:t>
            </w:r>
          </w:p>
          <w:p w:rsidR="00740FF4" w:rsidRPr="001F1921" w:rsidRDefault="00E05503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-Redovno su  postavljane </w:t>
            </w:r>
            <w:r w:rsidR="00740FF4" w:rsidRPr="001F1921">
              <w:rPr>
                <w:rFonts w:asciiTheme="majorHAnsi" w:hAnsiTheme="majorHAnsi"/>
                <w:color w:val="000000" w:themeColor="text1"/>
              </w:rPr>
              <w:t xml:space="preserve">objave 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i najave manifestacija </w:t>
            </w:r>
            <w:r w:rsidR="00740FF4" w:rsidRPr="001F1921">
              <w:rPr>
                <w:rFonts w:asciiTheme="majorHAnsi" w:hAnsiTheme="majorHAnsi"/>
                <w:color w:val="000000" w:themeColor="text1"/>
              </w:rPr>
              <w:t xml:space="preserve">na Facebook stranici TZO STON i </w:t>
            </w:r>
            <w:r w:rsidR="001F0336" w:rsidRPr="001F1921">
              <w:rPr>
                <w:rFonts w:asciiTheme="majorHAnsi" w:hAnsiTheme="majorHAnsi"/>
                <w:color w:val="000000" w:themeColor="text1"/>
              </w:rPr>
              <w:t xml:space="preserve">LIKE </w:t>
            </w:r>
            <w:r w:rsidRPr="001F1921">
              <w:rPr>
                <w:rFonts w:asciiTheme="majorHAnsi" w:hAnsiTheme="majorHAnsi"/>
                <w:color w:val="000000" w:themeColor="text1"/>
              </w:rPr>
              <w:t>PELJESAC</w:t>
            </w:r>
          </w:p>
          <w:p w:rsidR="001F1921" w:rsidRDefault="00E05503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-Vršilo se web i Opće oglašavanje  u tisku (Ned line,</w:t>
            </w:r>
            <w:r w:rsidR="00163038" w:rsidRPr="001F1921">
              <w:rPr>
                <w:rFonts w:asciiTheme="majorHAnsi" w:hAnsiTheme="majorHAnsi"/>
                <w:color w:val="000000" w:themeColor="text1"/>
              </w:rPr>
              <w:t>Meridijani,</w:t>
            </w:r>
            <w:r w:rsidRPr="001F1921">
              <w:rPr>
                <w:rFonts w:asciiTheme="majorHAnsi" w:hAnsiTheme="majorHAnsi"/>
                <w:color w:val="000000" w:themeColor="text1"/>
              </w:rPr>
              <w:t>Turizam info</w:t>
            </w:r>
            <w:r w:rsidR="00A5479B" w:rsidRPr="001F1921">
              <w:rPr>
                <w:rFonts w:asciiTheme="majorHAnsi" w:hAnsiTheme="majorHAnsi"/>
                <w:color w:val="000000" w:themeColor="text1"/>
              </w:rPr>
              <w:t>,Hot spot,Visitcroatia)</w:t>
            </w:r>
            <w:r w:rsidR="00695172" w:rsidRPr="001F1921">
              <w:rPr>
                <w:rFonts w:asciiTheme="majorHAnsi" w:hAnsiTheme="majorHAnsi"/>
                <w:b/>
                <w:color w:val="000000" w:themeColor="text1"/>
              </w:rPr>
              <w:t>(85.688,69 kn)</w:t>
            </w:r>
          </w:p>
          <w:p w:rsidR="005756DE" w:rsidRPr="001F1921" w:rsidRDefault="005756DE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DE7FAA" w:rsidRPr="001F1921" w:rsidRDefault="000C5397" w:rsidP="002F6B0A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lastRenderedPageBreak/>
              <w:t>Turistička signalizacij</w:t>
            </w:r>
            <w:r w:rsidR="00DE7FAA"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a(Smeđa signalizacija i info table)</w:t>
            </w:r>
          </w:p>
          <w:p w:rsidR="000C5397" w:rsidRPr="001F1921" w:rsidRDefault="000C5397" w:rsidP="002F6B0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Kroz 2013.godinu nastavili smo sa označavanjem pješačko biciklističkih staza</w:t>
            </w:r>
          </w:p>
          <w:p w:rsidR="000C5397" w:rsidRPr="001F1921" w:rsidRDefault="000C5397" w:rsidP="002F6B0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te smo označili sta</w:t>
            </w:r>
            <w:r w:rsidR="00DE7FAA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zu do Sv.Ivana u Žuljani kao i Poučno rekreacijsku stazu „K</w:t>
            </w: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roz Vino do Prapratnog</w:t>
            </w:r>
            <w:r w:rsidR="00DE7FAA"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“</w:t>
            </w: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.</w:t>
            </w:r>
          </w:p>
          <w:p w:rsidR="000C5397" w:rsidRPr="001F1921" w:rsidRDefault="000C5397" w:rsidP="002F6B0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Postavljena je  info tabla Napoleonove ceste u Ponikvama  te obnovljena info tabla u Žuljani </w:t>
            </w:r>
          </w:p>
          <w:p w:rsidR="0005014E" w:rsidRPr="005756DE" w:rsidRDefault="000C5397" w:rsidP="001E321C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F1921">
              <w:rPr>
                <w:rFonts w:asciiTheme="majorHAnsi" w:eastAsia="Times New Roman" w:hAnsiTheme="majorHAnsi" w:cs="Times New Roman"/>
                <w:color w:val="000000" w:themeColor="text1"/>
              </w:rPr>
              <w:t>na rivi kraj Turističkog ureda</w:t>
            </w:r>
            <w:r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.</w:t>
            </w:r>
            <w:r w:rsidR="00CA74F5"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(37.388,63</w:t>
            </w:r>
            <w:r w:rsidR="00A96265" w:rsidRPr="001F192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 xml:space="preserve"> kn)</w:t>
            </w:r>
          </w:p>
          <w:p w:rsidR="001F1921" w:rsidRPr="001F1921" w:rsidRDefault="00740FF4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DISTRIBUCIJA I PRODAJA VRIJEDNOSTI</w:t>
            </w:r>
          </w:p>
          <w:p w:rsidR="000C5397" w:rsidRPr="001F1921" w:rsidRDefault="00EE5D5F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U 2013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>.godini sudjelovali smo sa promidžbenim materijalima koje smo  poslali u HTZ-skladište,</w:t>
            </w: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te su ih oni dalje distribuirali na svaki sajam.Na sajmove i pre</w:t>
            </w:r>
            <w:r w:rsidR="00D559D7">
              <w:rPr>
                <w:rFonts w:asciiTheme="majorHAnsi" w:hAnsiTheme="majorHAnsi"/>
                <w:color w:val="000000" w:themeColor="text1"/>
              </w:rPr>
              <w:t>zentacije gdje se prezentirala Ž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upanijska </w:t>
            </w:r>
          </w:p>
          <w:p w:rsidR="00EE5D5F" w:rsidRPr="001F1921" w:rsidRDefault="000C5397" w:rsidP="009464F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Turistička zajednica, Klaster Pelješac pokrivao je naše područje sa informatorima sa Pelješca.</w:t>
            </w:r>
          </w:p>
          <w:p w:rsidR="00740FF4" w:rsidRPr="001F1921" w:rsidRDefault="00740FF4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U protekloj godini ugostili smo dvadesetak novinara i</w:t>
            </w:r>
            <w:r w:rsidR="00EE5D5F" w:rsidRPr="001F1921">
              <w:rPr>
                <w:rFonts w:asciiTheme="majorHAnsi" w:hAnsiTheme="majorHAnsi"/>
                <w:color w:val="000000" w:themeColor="text1"/>
              </w:rPr>
              <w:t xml:space="preserve"> studijskih grupa po preporuci T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urističke zajednice </w:t>
            </w:r>
          </w:p>
          <w:p w:rsidR="00740FF4" w:rsidRPr="001F1921" w:rsidRDefault="00740FF4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Županije </w:t>
            </w:r>
            <w:r w:rsidR="009464FD" w:rsidRPr="001F1921">
              <w:rPr>
                <w:rFonts w:asciiTheme="majorHAnsi" w:hAnsiTheme="majorHAnsi"/>
                <w:color w:val="000000" w:themeColor="text1"/>
              </w:rPr>
              <w:t>i Hrvatske turističke zajednice te se troškovi  odnose najvi</w:t>
            </w:r>
            <w:r w:rsidR="000A2694" w:rsidRPr="001F1921">
              <w:rPr>
                <w:rFonts w:asciiTheme="majorHAnsi" w:hAnsiTheme="majorHAnsi"/>
                <w:color w:val="000000" w:themeColor="text1"/>
              </w:rPr>
              <w:t>še na poklon suvenire i ručkove.</w:t>
            </w:r>
          </w:p>
          <w:p w:rsidR="009464FD" w:rsidRPr="001F1921" w:rsidRDefault="009464FD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Posebna prezentacija TZ Pelješca odrađena je Na Šahtički u Slovačkoj gdje su bili pozvani sve</w:t>
            </w:r>
          </w:p>
          <w:p w:rsidR="00EE5D5F" w:rsidRPr="001F1921" w:rsidRDefault="009464FD" w:rsidP="00740FF4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E5D5F" w:rsidRPr="001F1921">
              <w:rPr>
                <w:rFonts w:asciiTheme="majorHAnsi" w:hAnsiTheme="majorHAnsi"/>
                <w:color w:val="000000" w:themeColor="text1"/>
              </w:rPr>
              <w:t xml:space="preserve">Slovačke </w:t>
            </w:r>
            <w:r w:rsidRPr="001F1921">
              <w:rPr>
                <w:rFonts w:asciiTheme="majorHAnsi" w:hAnsiTheme="majorHAnsi"/>
                <w:color w:val="000000" w:themeColor="text1"/>
              </w:rPr>
              <w:t>medijske kuće i agenci</w:t>
            </w:r>
            <w:r w:rsidR="00E31404">
              <w:rPr>
                <w:rFonts w:asciiTheme="majorHAnsi" w:hAnsiTheme="majorHAnsi"/>
                <w:color w:val="000000" w:themeColor="text1"/>
              </w:rPr>
              <w:t>je, a ujedno smo sudjelovali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na Road show u Bratislavi i Banskoj Bistrici.</w:t>
            </w:r>
            <w:r w:rsidR="00EE5D5F" w:rsidRPr="001F192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05014E" w:rsidRPr="00C17984" w:rsidRDefault="00EE5D5F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(18.283,90 kn)</w:t>
            </w:r>
          </w:p>
          <w:p w:rsidR="00677D67" w:rsidRPr="005756DE" w:rsidRDefault="00740FF4" w:rsidP="005756D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INTERNI  MARKETING</w:t>
            </w:r>
          </w:p>
          <w:p w:rsidR="00905D89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Hrva</w:t>
            </w:r>
            <w:r w:rsidR="00905D89" w:rsidRPr="001F1921">
              <w:rPr>
                <w:rFonts w:asciiTheme="majorHAnsi" w:eastAsia="Times New Roman" w:hAnsiTheme="majorHAnsi"/>
              </w:rPr>
              <w:t xml:space="preserve">tska turistička zajednica </w:t>
            </w:r>
            <w:r w:rsidRPr="001F1921">
              <w:rPr>
                <w:rFonts w:asciiTheme="majorHAnsi" w:eastAsia="Times New Roman" w:hAnsiTheme="majorHAnsi"/>
              </w:rPr>
              <w:t xml:space="preserve"> provodi</w:t>
            </w:r>
            <w:r w:rsidR="00905D89" w:rsidRPr="001F1921">
              <w:rPr>
                <w:rFonts w:asciiTheme="majorHAnsi" w:eastAsia="Times New Roman" w:hAnsiTheme="majorHAnsi"/>
              </w:rPr>
              <w:t>la</w:t>
            </w:r>
            <w:r w:rsidRPr="001F1921">
              <w:rPr>
                <w:rFonts w:asciiTheme="majorHAnsi" w:eastAsia="Times New Roman" w:hAnsiTheme="majorHAnsi"/>
              </w:rPr>
              <w:t xml:space="preserve"> </w:t>
            </w:r>
            <w:r w:rsidR="00905D89" w:rsidRPr="001F1921">
              <w:rPr>
                <w:rFonts w:asciiTheme="majorHAnsi" w:eastAsia="Times New Roman" w:hAnsiTheme="majorHAnsi"/>
              </w:rPr>
              <w:t xml:space="preserve">je </w:t>
            </w:r>
            <w:r w:rsidRPr="001F1921">
              <w:rPr>
                <w:rFonts w:asciiTheme="majorHAnsi" w:eastAsia="Times New Roman" w:hAnsiTheme="majorHAnsi"/>
              </w:rPr>
              <w:t>projekt</w:t>
            </w:r>
            <w:r w:rsidR="00905D89" w:rsidRPr="001F1921">
              <w:rPr>
                <w:rFonts w:asciiTheme="majorHAnsi" w:eastAsia="Times New Roman" w:hAnsiTheme="majorHAnsi"/>
              </w:rPr>
              <w:t xml:space="preserve">e </w:t>
            </w:r>
            <w:r w:rsidRPr="001F1921">
              <w:rPr>
                <w:rFonts w:asciiTheme="majorHAnsi" w:eastAsia="Times New Roman" w:hAnsiTheme="majorHAnsi"/>
              </w:rPr>
              <w:t>edukacije</w:t>
            </w:r>
            <w:r w:rsidR="00531BBC">
              <w:rPr>
                <w:rFonts w:asciiTheme="majorHAnsi" w:eastAsia="Times New Roman" w:hAnsiTheme="majorHAnsi"/>
              </w:rPr>
              <w:t xml:space="preserve"> </w:t>
            </w:r>
            <w:r w:rsidR="00905D89" w:rsidRPr="001F1921">
              <w:rPr>
                <w:rFonts w:asciiTheme="majorHAnsi" w:eastAsia="Times New Roman" w:hAnsiTheme="majorHAnsi"/>
              </w:rPr>
              <w:t xml:space="preserve">u Dubrovniku </w:t>
            </w:r>
            <w:r w:rsidRPr="001F1921">
              <w:rPr>
                <w:rFonts w:asciiTheme="majorHAnsi" w:eastAsia="Times New Roman" w:hAnsiTheme="majorHAnsi"/>
              </w:rPr>
              <w:t xml:space="preserve"> za primjenu suvremenih </w:t>
            </w:r>
          </w:p>
          <w:p w:rsidR="0005014E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 xml:space="preserve">marketinških strategija, tehnologija i alata za sve razine sustava turističkih zajednica te predstavnike </w:t>
            </w:r>
          </w:p>
          <w:p w:rsidR="0005014E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javnog i privatnog sektora kako bi se unaprijedila njihova marketinška znanja, a time</w:t>
            </w:r>
            <w:r w:rsidR="0005014E" w:rsidRPr="001F1921">
              <w:rPr>
                <w:rFonts w:asciiTheme="majorHAnsi" w:eastAsia="Times New Roman" w:hAnsiTheme="majorHAnsi"/>
              </w:rPr>
              <w:t xml:space="preserve"> </w:t>
            </w:r>
            <w:r w:rsidRPr="001F1921">
              <w:rPr>
                <w:rFonts w:asciiTheme="majorHAnsi" w:eastAsia="Times New Roman" w:hAnsiTheme="majorHAnsi"/>
              </w:rPr>
              <w:t xml:space="preserve">i poboljšala učinkovitost </w:t>
            </w:r>
          </w:p>
          <w:p w:rsidR="00677D67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promocije na mikro i makro razini.</w:t>
            </w:r>
          </w:p>
          <w:p w:rsidR="00677D67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Slijedom navedenog,</w:t>
            </w:r>
            <w:r w:rsidR="00905D89" w:rsidRPr="001F1921">
              <w:rPr>
                <w:rFonts w:asciiTheme="majorHAnsi" w:eastAsia="Times New Roman" w:hAnsiTheme="majorHAnsi"/>
              </w:rPr>
              <w:t>sudjelovali smo u svim edukacija,</w:t>
            </w:r>
            <w:r w:rsidRPr="001F1921">
              <w:rPr>
                <w:rFonts w:asciiTheme="majorHAnsi" w:eastAsia="Times New Roman" w:hAnsiTheme="majorHAnsi"/>
              </w:rPr>
              <w:t xml:space="preserve"> a to su:</w:t>
            </w:r>
          </w:p>
          <w:p w:rsidR="00677D67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Razvoj proizvoda,Marketing u turističkoj industriji,Komunikacijske i upravljačke vještine,</w:t>
            </w:r>
          </w:p>
          <w:p w:rsidR="00677D67" w:rsidRPr="001F1921" w:rsidRDefault="00677D67" w:rsidP="0005014E">
            <w:pPr>
              <w:rPr>
                <w:rFonts w:asciiTheme="majorHAnsi" w:eastAsia="Times New Roman" w:hAnsiTheme="majorHAnsi"/>
              </w:rPr>
            </w:pPr>
            <w:r w:rsidRPr="001F1921">
              <w:rPr>
                <w:rFonts w:asciiTheme="majorHAnsi" w:eastAsia="Times New Roman" w:hAnsiTheme="majorHAnsi"/>
              </w:rPr>
              <w:t>Informacijske tehnologije u turizmu,Internet marketing.</w:t>
            </w:r>
          </w:p>
          <w:p w:rsidR="000C5397" w:rsidRPr="001F1921" w:rsidRDefault="00905D89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Sudjelovali smo 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 xml:space="preserve"> na Danima Hrvatskog turizma i 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na 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>javnoj tribini Menadžment turističke destinacije-pokretač</w:t>
            </w:r>
          </w:p>
          <w:p w:rsidR="0005014E" w:rsidRDefault="000C5397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Razvoja turizma i produljenja turističke sezone.</w:t>
            </w:r>
            <w:r w:rsidR="00546CDC" w:rsidRPr="001F192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46CDC" w:rsidRPr="001F1921">
              <w:rPr>
                <w:rFonts w:asciiTheme="majorHAnsi" w:hAnsiTheme="majorHAnsi"/>
                <w:b/>
                <w:color w:val="000000" w:themeColor="text1"/>
              </w:rPr>
              <w:t>(7.232,62 kn)</w:t>
            </w:r>
          </w:p>
          <w:p w:rsidR="005756DE" w:rsidRDefault="005756DE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5756DE" w:rsidRDefault="005756DE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5756DE" w:rsidRDefault="005756DE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5756DE" w:rsidRPr="005756DE" w:rsidRDefault="005756DE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0C5397" w:rsidRPr="001F1921" w:rsidRDefault="00546CDC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lastRenderedPageBreak/>
              <w:t>MARKET</w:t>
            </w:r>
            <w:r w:rsidR="00740FF4" w:rsidRPr="001F1921">
              <w:rPr>
                <w:rFonts w:asciiTheme="majorHAnsi" w:hAnsiTheme="majorHAnsi"/>
                <w:b/>
                <w:color w:val="000000" w:themeColor="text1"/>
              </w:rPr>
              <w:t>N</w:t>
            </w:r>
            <w:r w:rsidRPr="001F1921">
              <w:rPr>
                <w:rFonts w:asciiTheme="majorHAnsi" w:hAnsiTheme="majorHAnsi"/>
                <w:b/>
                <w:color w:val="000000" w:themeColor="text1"/>
              </w:rPr>
              <w:t>IŠ</w:t>
            </w:r>
            <w:r w:rsidR="00740FF4" w:rsidRPr="001F1921">
              <w:rPr>
                <w:rFonts w:asciiTheme="majorHAnsi" w:hAnsiTheme="majorHAnsi"/>
                <w:b/>
                <w:color w:val="000000" w:themeColor="text1"/>
              </w:rPr>
              <w:t>KA</w:t>
            </w:r>
            <w:r w:rsidRPr="001F1921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740FF4" w:rsidRPr="001F1921">
              <w:rPr>
                <w:rFonts w:asciiTheme="majorHAnsi" w:hAnsiTheme="majorHAnsi"/>
                <w:b/>
                <w:color w:val="000000" w:themeColor="text1"/>
              </w:rPr>
              <w:t xml:space="preserve"> INFRASTRUKTURA</w:t>
            </w:r>
          </w:p>
          <w:p w:rsidR="00546CDC" w:rsidRPr="001F1921" w:rsidRDefault="00546CDC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Zbog nedostatka kvalitetnih slika Općine Ston koje su potrebne u našem daljnjem  radu ,obnovili smo bazu </w:t>
            </w:r>
          </w:p>
          <w:p w:rsidR="00546CDC" w:rsidRPr="001F1921" w:rsidRDefault="00FC6C24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fotografija s Boris Jovićem koje će biti u potpunosti pripremne za izdavaštvo do sljedeće sezone.</w:t>
            </w:r>
          </w:p>
          <w:p w:rsidR="005756DE" w:rsidRDefault="00FC6C24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Jedinstveni turistički informacijski sustav vršen je Program</w:t>
            </w:r>
            <w:r w:rsidR="008C0A2F">
              <w:rPr>
                <w:rFonts w:asciiTheme="majorHAnsi" w:hAnsiTheme="majorHAnsi"/>
                <w:color w:val="000000" w:themeColor="text1"/>
              </w:rPr>
              <w:t>om  za prijavu i odjavu sa Futur</w:t>
            </w:r>
            <w:r w:rsidRPr="001F1921">
              <w:rPr>
                <w:rFonts w:asciiTheme="majorHAnsi" w:hAnsiTheme="majorHAnsi"/>
                <w:color w:val="000000" w:themeColor="text1"/>
              </w:rPr>
              <w:t>a Toursom.</w:t>
            </w:r>
            <w:r w:rsidR="005756DE" w:rsidRPr="001F192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FC6C24" w:rsidRPr="001F1921" w:rsidRDefault="005756DE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(8.800,00 kn)</w:t>
            </w:r>
          </w:p>
          <w:p w:rsidR="00740FF4" w:rsidRPr="001F1921" w:rsidRDefault="00740FF4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TRANSFER SREDSTAVA BORAVIŠNE PRISTOJBE</w:t>
            </w:r>
          </w:p>
          <w:p w:rsidR="00546CDC" w:rsidRPr="001F1921" w:rsidRDefault="00546CDC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 TZO Ston izračunom </w:t>
            </w:r>
            <w:r w:rsidR="000C5397" w:rsidRPr="001F1921">
              <w:rPr>
                <w:rFonts w:asciiTheme="majorHAnsi" w:hAnsiTheme="majorHAnsi"/>
                <w:color w:val="000000" w:themeColor="text1"/>
              </w:rPr>
              <w:t xml:space="preserve"> bora</w:t>
            </w:r>
            <w:r w:rsidRPr="001F1921">
              <w:rPr>
                <w:rFonts w:asciiTheme="majorHAnsi" w:hAnsiTheme="majorHAnsi"/>
                <w:color w:val="000000" w:themeColor="text1"/>
              </w:rPr>
              <w:t>višne pristojbe izvršila je uplatu Op</w:t>
            </w:r>
            <w:r w:rsidR="00373A2C">
              <w:rPr>
                <w:rFonts w:asciiTheme="majorHAnsi" w:hAnsiTheme="majorHAnsi"/>
                <w:color w:val="000000" w:themeColor="text1"/>
              </w:rPr>
              <w:t>ćini Ston u iznosu od 115.582,26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kn .</w:t>
            </w:r>
          </w:p>
          <w:p w:rsidR="00F30059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b/>
                <w:color w:val="000000" w:themeColor="text1"/>
              </w:rPr>
              <w:t>Stanje računa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u OTP banci na dan 31.12.2013. iznosi </w:t>
            </w:r>
            <w:r w:rsidR="00F30059" w:rsidRPr="00F30059">
              <w:rPr>
                <w:rFonts w:asciiTheme="majorHAnsi" w:hAnsiTheme="majorHAnsi"/>
                <w:color w:val="000000" w:themeColor="text1"/>
              </w:rPr>
              <w:t>207.230,37</w:t>
            </w:r>
            <w:r w:rsidR="00F30059">
              <w:rPr>
                <w:rFonts w:asciiTheme="majorHAnsi" w:hAnsiTheme="majorHAnsi"/>
                <w:color w:val="C00000"/>
              </w:rPr>
              <w:t xml:space="preserve"> </w:t>
            </w:r>
            <w:r w:rsidRPr="001F1921">
              <w:rPr>
                <w:rFonts w:asciiTheme="majorHAnsi" w:hAnsiTheme="majorHAnsi"/>
                <w:color w:val="000000" w:themeColor="text1"/>
              </w:rPr>
              <w:t>kn,</w:t>
            </w:r>
            <w:r w:rsidR="00F30059">
              <w:rPr>
                <w:rFonts w:asciiTheme="majorHAnsi" w:hAnsiTheme="majorHAnsi"/>
                <w:color w:val="000000" w:themeColor="text1"/>
              </w:rPr>
              <w:t xml:space="preserve">što se ne podudara </w:t>
            </w:r>
            <w:r w:rsidR="002401F9">
              <w:rPr>
                <w:rFonts w:asciiTheme="majorHAnsi" w:hAnsiTheme="majorHAnsi"/>
                <w:color w:val="000000" w:themeColor="text1"/>
              </w:rPr>
              <w:t>sa viš</w:t>
            </w:r>
            <w:r w:rsidR="00F30059">
              <w:rPr>
                <w:rFonts w:asciiTheme="majorHAnsi" w:hAnsiTheme="majorHAnsi"/>
                <w:color w:val="000000" w:themeColor="text1"/>
              </w:rPr>
              <w:t xml:space="preserve">kom </w:t>
            </w:r>
          </w:p>
          <w:p w:rsidR="00F30059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prihoda </w:t>
            </w:r>
            <w:r w:rsidR="00F30059">
              <w:rPr>
                <w:rFonts w:asciiTheme="majorHAnsi" w:hAnsiTheme="majorHAnsi"/>
                <w:color w:val="000000" w:themeColor="text1"/>
              </w:rPr>
              <w:t xml:space="preserve"> prenesenom u našem izvješću  </w:t>
            </w:r>
            <w:r w:rsidRPr="001F1921">
              <w:rPr>
                <w:rFonts w:asciiTheme="majorHAnsi" w:hAnsiTheme="majorHAnsi"/>
                <w:color w:val="000000" w:themeColor="text1"/>
              </w:rPr>
              <w:t>jer su uraču</w:t>
            </w:r>
            <w:r w:rsidR="00F30059">
              <w:rPr>
                <w:rFonts w:asciiTheme="majorHAnsi" w:hAnsiTheme="majorHAnsi"/>
                <w:color w:val="000000" w:themeColor="text1"/>
              </w:rPr>
              <w:t>nata sva zaduženja iz mjeseca prosinca</w:t>
            </w:r>
            <w:r w:rsidRPr="001F192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0C5397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(plače ,doprinosi .</w:t>
            </w:r>
            <w:r w:rsidR="00F30059">
              <w:rPr>
                <w:rFonts w:asciiTheme="majorHAnsi" w:hAnsiTheme="majorHAnsi"/>
                <w:color w:val="000000" w:themeColor="text1"/>
              </w:rPr>
              <w:t>voda,struja,telefon</w:t>
            </w:r>
            <w:r w:rsidR="002401F9">
              <w:rPr>
                <w:rFonts w:asciiTheme="majorHAnsi" w:hAnsiTheme="majorHAnsi"/>
                <w:color w:val="000000" w:themeColor="text1"/>
              </w:rPr>
              <w:t>.)koja su plać</w:t>
            </w:r>
            <w:r w:rsidRPr="001F1921">
              <w:rPr>
                <w:rFonts w:asciiTheme="majorHAnsi" w:hAnsiTheme="majorHAnsi"/>
                <w:color w:val="000000" w:themeColor="text1"/>
              </w:rPr>
              <w:t>ena početkom</w:t>
            </w:r>
            <w:r w:rsidR="00F3005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F1921">
              <w:rPr>
                <w:rFonts w:asciiTheme="majorHAnsi" w:hAnsiTheme="majorHAnsi"/>
                <w:color w:val="000000" w:themeColor="text1"/>
              </w:rPr>
              <w:t>mjeseca siječnja 2013.</w:t>
            </w:r>
            <w:r w:rsidR="00F30059">
              <w:rPr>
                <w:rFonts w:asciiTheme="majorHAnsi" w:hAnsiTheme="majorHAnsi"/>
                <w:color w:val="000000" w:themeColor="text1"/>
              </w:rPr>
              <w:t>godine.</w:t>
            </w:r>
          </w:p>
          <w:p w:rsidR="00F30059" w:rsidRPr="001F1921" w:rsidRDefault="00F30059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 xml:space="preserve">Nadamo se nastavku uspješne suradnje između tijela TZO Ston koji svojim zalaganjem i radom </w:t>
            </w: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pridonose uspješniju provedbu svih .</w:t>
            </w:r>
          </w:p>
          <w:p w:rsidR="00C17984" w:rsidRDefault="00C17984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Fani Slade</w:t>
            </w: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Direktorica ureda</w:t>
            </w:r>
          </w:p>
          <w:p w:rsidR="000C5397" w:rsidRPr="001F1921" w:rsidRDefault="000C5397" w:rsidP="004A2CC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F1921">
              <w:rPr>
                <w:rFonts w:asciiTheme="majorHAnsi" w:hAnsiTheme="majorHAnsi"/>
                <w:color w:val="000000" w:themeColor="text1"/>
              </w:rPr>
              <w:t>TZO STON</w:t>
            </w: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tbl>
            <w:tblPr>
              <w:tblW w:w="11000" w:type="dxa"/>
              <w:tblLook w:val="04A0"/>
            </w:tblPr>
            <w:tblGrid>
              <w:gridCol w:w="408"/>
              <w:gridCol w:w="9345"/>
              <w:gridCol w:w="839"/>
              <w:gridCol w:w="408"/>
            </w:tblGrid>
            <w:tr w:rsidR="000C5397" w:rsidRPr="001F1921" w:rsidTr="00887CA2">
              <w:trPr>
                <w:trHeight w:val="424"/>
              </w:trPr>
              <w:tc>
                <w:tcPr>
                  <w:tcW w:w="9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82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82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42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143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  <w:tr w:rsidR="000C5397" w:rsidRPr="001F1921" w:rsidTr="00887CA2">
              <w:trPr>
                <w:gridAfter w:val="3"/>
                <w:wAfter w:w="10592" w:type="dxa"/>
                <w:trHeight w:val="255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397" w:rsidRPr="001F1921" w:rsidRDefault="000C5397" w:rsidP="00887CA2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</w:tbl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1E321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0C5397" w:rsidRPr="001F1921" w:rsidRDefault="000C5397" w:rsidP="00887CA2">
            <w:pPr>
              <w:jc w:val="both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C5397" w:rsidRPr="00DA3E8E" w:rsidTr="00691567">
        <w:trPr>
          <w:gridBefore w:val="1"/>
          <w:gridAfter w:val="1"/>
          <w:wBefore w:w="601" w:type="dxa"/>
          <w:wAfter w:w="93" w:type="dxa"/>
          <w:trHeight w:val="270"/>
        </w:trPr>
        <w:tc>
          <w:tcPr>
            <w:tcW w:w="18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8624D8" w:rsidRDefault="000C5397" w:rsidP="00887CA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97" w:rsidRPr="00DA3E8E" w:rsidRDefault="000C5397" w:rsidP="004532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68760C" w:rsidRPr="00DA3E8E" w:rsidRDefault="0068760C" w:rsidP="0068760C">
      <w:pPr>
        <w:jc w:val="both"/>
        <w:rPr>
          <w:rFonts w:ascii="Clarendon Condensed" w:eastAsia="Times New Roman" w:hAnsi="Clarendon Condensed" w:cs="Times New Roman"/>
          <w:color w:val="FF0000"/>
        </w:rPr>
      </w:pPr>
    </w:p>
    <w:p w:rsidR="0068760C" w:rsidRPr="00DA3E8E" w:rsidRDefault="0068760C" w:rsidP="0068760C">
      <w:pPr>
        <w:rPr>
          <w:rFonts w:ascii="Clarendon Condensed" w:eastAsia="Times New Roman" w:hAnsi="Clarendon Condensed" w:cs="Times New Roman"/>
          <w:b/>
          <w:color w:val="FF0000"/>
        </w:rPr>
      </w:pPr>
    </w:p>
    <w:p w:rsidR="0068760C" w:rsidRPr="00DA3E8E" w:rsidRDefault="0068760C" w:rsidP="0068760C">
      <w:pPr>
        <w:rPr>
          <w:rFonts w:ascii="Clarendon Condensed" w:hAnsi="Clarendon Condensed"/>
          <w:b/>
          <w:color w:val="FF0000"/>
          <w:u w:val="single"/>
        </w:rPr>
      </w:pPr>
    </w:p>
    <w:p w:rsidR="0068760C" w:rsidRPr="00DA3E8E" w:rsidRDefault="0068760C" w:rsidP="0068760C">
      <w:pPr>
        <w:rPr>
          <w:rFonts w:ascii="Clarendon Condensed" w:eastAsia="Times New Roman" w:hAnsi="Clarendon Condensed" w:cs="Times New Roman"/>
          <w:color w:val="FF0000"/>
        </w:rPr>
      </w:pPr>
    </w:p>
    <w:p w:rsidR="0068760C" w:rsidRPr="00DA3E8E" w:rsidRDefault="0068760C" w:rsidP="0068760C">
      <w:pPr>
        <w:rPr>
          <w:rFonts w:ascii="Clarendon Condensed" w:eastAsia="Times New Roman" w:hAnsi="Clarendon Condensed" w:cs="Times New Roman"/>
          <w:color w:val="FF0000"/>
        </w:rPr>
      </w:pPr>
    </w:p>
    <w:p w:rsidR="0068760C" w:rsidRPr="00DA3E8E" w:rsidRDefault="0068760C" w:rsidP="0068760C">
      <w:pPr>
        <w:rPr>
          <w:rFonts w:ascii="Clarendon Condensed" w:eastAsia="Times New Roman" w:hAnsi="Clarendon Condensed" w:cs="Times New Roman"/>
          <w:color w:val="FF0000"/>
        </w:rPr>
      </w:pPr>
    </w:p>
    <w:p w:rsidR="0068760C" w:rsidRPr="00DA3E8E" w:rsidRDefault="0068760C" w:rsidP="00680094">
      <w:pPr>
        <w:rPr>
          <w:color w:val="FF0000"/>
        </w:rPr>
      </w:pPr>
    </w:p>
    <w:p w:rsidR="00FE09B8" w:rsidRPr="00DA3E8E" w:rsidRDefault="00FE09B8" w:rsidP="00FE09B8">
      <w:pPr>
        <w:spacing w:after="0" w:line="240" w:lineRule="auto"/>
        <w:ind w:left="84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42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42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84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42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84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84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spacing w:after="0" w:line="240" w:lineRule="auto"/>
        <w:ind w:left="846"/>
        <w:rPr>
          <w:rFonts w:ascii="Verdana" w:hAnsi="Verdana"/>
          <w:b/>
          <w:color w:val="FF0000"/>
        </w:rPr>
      </w:pPr>
    </w:p>
    <w:p w:rsidR="00FE09B8" w:rsidRPr="00DA3E8E" w:rsidRDefault="00FE09B8" w:rsidP="00FE09B8">
      <w:pPr>
        <w:rPr>
          <w:color w:val="FF0000"/>
        </w:rPr>
      </w:pPr>
    </w:p>
    <w:p w:rsidR="00FE09B8" w:rsidRPr="00DA3E8E" w:rsidRDefault="00FE09B8" w:rsidP="00FE09B8">
      <w:pPr>
        <w:rPr>
          <w:color w:val="FF0000"/>
        </w:rPr>
      </w:pPr>
    </w:p>
    <w:p w:rsidR="00A46F9E" w:rsidRPr="00DA3E8E" w:rsidRDefault="00A46F9E">
      <w:pPr>
        <w:rPr>
          <w:color w:val="FF0000"/>
        </w:rPr>
      </w:pPr>
    </w:p>
    <w:sectPr w:rsidR="00A46F9E" w:rsidRPr="00DA3E8E" w:rsidSect="0057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CE"/>
    <w:multiLevelType w:val="hybridMultilevel"/>
    <w:tmpl w:val="4FDAC0F6"/>
    <w:lvl w:ilvl="0" w:tplc="0CA2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7A53"/>
    <w:multiLevelType w:val="hybridMultilevel"/>
    <w:tmpl w:val="FF249BB8"/>
    <w:lvl w:ilvl="0" w:tplc="D232587C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3476"/>
    <w:multiLevelType w:val="hybridMultilevel"/>
    <w:tmpl w:val="B7C8003C"/>
    <w:lvl w:ilvl="0" w:tplc="40C07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C94"/>
    <w:multiLevelType w:val="multilevel"/>
    <w:tmpl w:val="551C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23757"/>
    <w:multiLevelType w:val="hybridMultilevel"/>
    <w:tmpl w:val="8766C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89C"/>
    <w:multiLevelType w:val="hybridMultilevel"/>
    <w:tmpl w:val="4BC41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6F9E"/>
    <w:rsid w:val="00007E5D"/>
    <w:rsid w:val="00016747"/>
    <w:rsid w:val="000315E7"/>
    <w:rsid w:val="00032331"/>
    <w:rsid w:val="0005014E"/>
    <w:rsid w:val="00052110"/>
    <w:rsid w:val="00065FA3"/>
    <w:rsid w:val="00092ABD"/>
    <w:rsid w:val="000A2694"/>
    <w:rsid w:val="000A3D7A"/>
    <w:rsid w:val="000B6C4F"/>
    <w:rsid w:val="000C5397"/>
    <w:rsid w:val="000D34A2"/>
    <w:rsid w:val="000D4643"/>
    <w:rsid w:val="000E766C"/>
    <w:rsid w:val="000F15A3"/>
    <w:rsid w:val="000F4EF0"/>
    <w:rsid w:val="00126C6D"/>
    <w:rsid w:val="00163038"/>
    <w:rsid w:val="00191494"/>
    <w:rsid w:val="001B0CD0"/>
    <w:rsid w:val="001C5F81"/>
    <w:rsid w:val="001D2402"/>
    <w:rsid w:val="001E321C"/>
    <w:rsid w:val="001E78B6"/>
    <w:rsid w:val="001F0336"/>
    <w:rsid w:val="001F1921"/>
    <w:rsid w:val="001F1CB4"/>
    <w:rsid w:val="00205E16"/>
    <w:rsid w:val="0021066B"/>
    <w:rsid w:val="002401F9"/>
    <w:rsid w:val="00247BB0"/>
    <w:rsid w:val="00277AD5"/>
    <w:rsid w:val="002A51CF"/>
    <w:rsid w:val="002E2E36"/>
    <w:rsid w:val="002E4659"/>
    <w:rsid w:val="002F576F"/>
    <w:rsid w:val="002F6B0A"/>
    <w:rsid w:val="00311D87"/>
    <w:rsid w:val="00323849"/>
    <w:rsid w:val="0032627E"/>
    <w:rsid w:val="00340CC7"/>
    <w:rsid w:val="00366955"/>
    <w:rsid w:val="00373A2C"/>
    <w:rsid w:val="00380FED"/>
    <w:rsid w:val="0039103F"/>
    <w:rsid w:val="003A1575"/>
    <w:rsid w:val="003B19AB"/>
    <w:rsid w:val="003B30B8"/>
    <w:rsid w:val="003D1879"/>
    <w:rsid w:val="003E2806"/>
    <w:rsid w:val="003F3ABD"/>
    <w:rsid w:val="00451357"/>
    <w:rsid w:val="004532F5"/>
    <w:rsid w:val="0046253C"/>
    <w:rsid w:val="004640F8"/>
    <w:rsid w:val="00477C16"/>
    <w:rsid w:val="00481A60"/>
    <w:rsid w:val="004A2CC7"/>
    <w:rsid w:val="004A4676"/>
    <w:rsid w:val="004C3EAE"/>
    <w:rsid w:val="004F1277"/>
    <w:rsid w:val="005002E5"/>
    <w:rsid w:val="005127E0"/>
    <w:rsid w:val="00517599"/>
    <w:rsid w:val="00531BBC"/>
    <w:rsid w:val="00533268"/>
    <w:rsid w:val="00546CDC"/>
    <w:rsid w:val="00553DC1"/>
    <w:rsid w:val="00560E08"/>
    <w:rsid w:val="00571063"/>
    <w:rsid w:val="005712DB"/>
    <w:rsid w:val="005756DE"/>
    <w:rsid w:val="00576A3E"/>
    <w:rsid w:val="005A196A"/>
    <w:rsid w:val="005C60E0"/>
    <w:rsid w:val="005D1E33"/>
    <w:rsid w:val="005D51A8"/>
    <w:rsid w:val="005F2055"/>
    <w:rsid w:val="0060745E"/>
    <w:rsid w:val="00677D67"/>
    <w:rsid w:val="00680094"/>
    <w:rsid w:val="0068078F"/>
    <w:rsid w:val="006849F8"/>
    <w:rsid w:val="0068760C"/>
    <w:rsid w:val="00691567"/>
    <w:rsid w:val="00692496"/>
    <w:rsid w:val="00695172"/>
    <w:rsid w:val="006A0313"/>
    <w:rsid w:val="006D0623"/>
    <w:rsid w:val="006D6157"/>
    <w:rsid w:val="006E3BE1"/>
    <w:rsid w:val="006F128E"/>
    <w:rsid w:val="00711080"/>
    <w:rsid w:val="00726C57"/>
    <w:rsid w:val="00740FF4"/>
    <w:rsid w:val="00773A67"/>
    <w:rsid w:val="007975E2"/>
    <w:rsid w:val="007B0B79"/>
    <w:rsid w:val="007B251D"/>
    <w:rsid w:val="007E4BC4"/>
    <w:rsid w:val="007F185A"/>
    <w:rsid w:val="007F28AD"/>
    <w:rsid w:val="007F322C"/>
    <w:rsid w:val="00802959"/>
    <w:rsid w:val="00815E0C"/>
    <w:rsid w:val="0083519A"/>
    <w:rsid w:val="0085282B"/>
    <w:rsid w:val="008624D8"/>
    <w:rsid w:val="00863E1D"/>
    <w:rsid w:val="00864F41"/>
    <w:rsid w:val="00870BA2"/>
    <w:rsid w:val="00882F59"/>
    <w:rsid w:val="00887CA2"/>
    <w:rsid w:val="008B1E0A"/>
    <w:rsid w:val="008C0A2F"/>
    <w:rsid w:val="008D58EB"/>
    <w:rsid w:val="008D6917"/>
    <w:rsid w:val="008F1FBC"/>
    <w:rsid w:val="00905D89"/>
    <w:rsid w:val="00906FFA"/>
    <w:rsid w:val="009245A4"/>
    <w:rsid w:val="00936643"/>
    <w:rsid w:val="009464FD"/>
    <w:rsid w:val="00977FE5"/>
    <w:rsid w:val="00987850"/>
    <w:rsid w:val="00995A48"/>
    <w:rsid w:val="009D254F"/>
    <w:rsid w:val="009D2700"/>
    <w:rsid w:val="009F5F22"/>
    <w:rsid w:val="00A04988"/>
    <w:rsid w:val="00A160D3"/>
    <w:rsid w:val="00A207EB"/>
    <w:rsid w:val="00A32EF8"/>
    <w:rsid w:val="00A370B2"/>
    <w:rsid w:val="00A466B1"/>
    <w:rsid w:val="00A46F9E"/>
    <w:rsid w:val="00A5479B"/>
    <w:rsid w:val="00A74838"/>
    <w:rsid w:val="00A876A0"/>
    <w:rsid w:val="00A91099"/>
    <w:rsid w:val="00A928B5"/>
    <w:rsid w:val="00A96265"/>
    <w:rsid w:val="00AA67DC"/>
    <w:rsid w:val="00AB6648"/>
    <w:rsid w:val="00AC4EF0"/>
    <w:rsid w:val="00AE0D0C"/>
    <w:rsid w:val="00AF749C"/>
    <w:rsid w:val="00B437BC"/>
    <w:rsid w:val="00B52090"/>
    <w:rsid w:val="00B56056"/>
    <w:rsid w:val="00B659D2"/>
    <w:rsid w:val="00B75CE1"/>
    <w:rsid w:val="00B802CF"/>
    <w:rsid w:val="00B83400"/>
    <w:rsid w:val="00BF19D5"/>
    <w:rsid w:val="00BF2C5F"/>
    <w:rsid w:val="00BF48ED"/>
    <w:rsid w:val="00C17984"/>
    <w:rsid w:val="00C32E63"/>
    <w:rsid w:val="00C87F06"/>
    <w:rsid w:val="00CA74F5"/>
    <w:rsid w:val="00CB5425"/>
    <w:rsid w:val="00CB6A04"/>
    <w:rsid w:val="00CF5C95"/>
    <w:rsid w:val="00CF7178"/>
    <w:rsid w:val="00D14ADE"/>
    <w:rsid w:val="00D25FDA"/>
    <w:rsid w:val="00D43662"/>
    <w:rsid w:val="00D46DB2"/>
    <w:rsid w:val="00D559D7"/>
    <w:rsid w:val="00D8314A"/>
    <w:rsid w:val="00DA3E8E"/>
    <w:rsid w:val="00DA62BC"/>
    <w:rsid w:val="00DE107F"/>
    <w:rsid w:val="00DE7FAA"/>
    <w:rsid w:val="00E05503"/>
    <w:rsid w:val="00E31404"/>
    <w:rsid w:val="00E3143A"/>
    <w:rsid w:val="00E8737C"/>
    <w:rsid w:val="00ED2503"/>
    <w:rsid w:val="00EE3489"/>
    <w:rsid w:val="00EE5D5F"/>
    <w:rsid w:val="00EF351C"/>
    <w:rsid w:val="00F05B92"/>
    <w:rsid w:val="00F07F5A"/>
    <w:rsid w:val="00F104C1"/>
    <w:rsid w:val="00F13CDA"/>
    <w:rsid w:val="00F237EF"/>
    <w:rsid w:val="00F30059"/>
    <w:rsid w:val="00F658F6"/>
    <w:rsid w:val="00F779B4"/>
    <w:rsid w:val="00FB0337"/>
    <w:rsid w:val="00FB636D"/>
    <w:rsid w:val="00FC094E"/>
    <w:rsid w:val="00FC6C24"/>
    <w:rsid w:val="00FE09B8"/>
    <w:rsid w:val="00FE5BC8"/>
    <w:rsid w:val="00FF020C"/>
    <w:rsid w:val="00FF1079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6A"/>
  </w:style>
  <w:style w:type="paragraph" w:styleId="Heading1">
    <w:name w:val="heading 1"/>
    <w:basedOn w:val="Normal"/>
    <w:next w:val="Normal"/>
    <w:link w:val="Heading1Char"/>
    <w:uiPriority w:val="9"/>
    <w:qFormat/>
    <w:rsid w:val="00050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9E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6F9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46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FF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7D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77D67"/>
    <w:rPr>
      <w:b/>
      <w:bCs/>
    </w:rPr>
  </w:style>
  <w:style w:type="paragraph" w:styleId="NoSpacing">
    <w:name w:val="No Spacing"/>
    <w:uiPriority w:val="1"/>
    <w:qFormat/>
    <w:rsid w:val="000501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0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eljesa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2119-9C27-4887-933F-56C1363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98</cp:revision>
  <cp:lastPrinted>2014-02-26T17:10:00Z</cp:lastPrinted>
  <dcterms:created xsi:type="dcterms:W3CDTF">2013-02-19T06:57:00Z</dcterms:created>
  <dcterms:modified xsi:type="dcterms:W3CDTF">2014-02-27T09:18:00Z</dcterms:modified>
</cp:coreProperties>
</file>